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7AF4F" w14:textId="77777777" w:rsidR="00AE515F" w:rsidRDefault="00AE515F" w:rsidP="00AE515F">
      <w:pPr>
        <w:pStyle w:val="a3"/>
        <w:spacing w:line="560" w:lineRule="atLeast"/>
        <w:jc w:val="center"/>
        <w:rPr>
          <w:rFonts w:ascii="Times New Roman" w:hAnsi="Times New Roman" w:cs="Times New Roman"/>
          <w:sz w:val="32"/>
          <w:szCs w:val="32"/>
        </w:rPr>
      </w:pPr>
      <w:bookmarkStart w:id="0" w:name="OLE_LINK1"/>
      <w:r>
        <w:rPr>
          <w:rFonts w:cs="Times New Roman" w:hint="eastAsia"/>
          <w:b/>
          <w:bCs/>
          <w:color w:val="000000"/>
          <w:sz w:val="44"/>
          <w:szCs w:val="44"/>
        </w:rPr>
        <w:t>公立医院内部控制管理办法</w:t>
      </w:r>
    </w:p>
    <w:bookmarkEnd w:id="0"/>
    <w:p w14:paraId="4EAD46FC" w14:textId="55B35112" w:rsidR="00AE515F" w:rsidRDefault="00AE515F" w:rsidP="00AE515F">
      <w:pPr>
        <w:pStyle w:val="a3"/>
        <w:spacing w:line="560" w:lineRule="atLeast"/>
        <w:jc w:val="center"/>
        <w:rPr>
          <w:rFonts w:ascii="Times New Roman" w:hAnsi="Times New Roman" w:cs="Times New Roman"/>
          <w:sz w:val="32"/>
          <w:szCs w:val="32"/>
        </w:rPr>
      </w:pPr>
    </w:p>
    <w:p w14:paraId="688910DA"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第一章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总则</w:t>
      </w:r>
    </w:p>
    <w:p w14:paraId="6D587D3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第一条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为全面推进公立医院内部控制建设，进一步规范公立医院经济活动及相关业务活动，有效防范和管</w:t>
      </w:r>
      <w:proofErr w:type="gramStart"/>
      <w:r>
        <w:rPr>
          <w:rFonts w:ascii="仿宋" w:eastAsia="仿宋" w:hAnsi="仿宋" w:cs="Times New Roman" w:hint="eastAsia"/>
          <w:color w:val="000000"/>
          <w:sz w:val="32"/>
          <w:szCs w:val="32"/>
        </w:rPr>
        <w:t>控内部</w:t>
      </w:r>
      <w:proofErr w:type="gramEnd"/>
      <w:r>
        <w:rPr>
          <w:rFonts w:ascii="仿宋" w:eastAsia="仿宋" w:hAnsi="仿宋" w:cs="Times New Roman" w:hint="eastAsia"/>
          <w:color w:val="000000"/>
          <w:sz w:val="32"/>
          <w:szCs w:val="32"/>
        </w:rPr>
        <w:t>运营风险，建立健全科学有效的内部制约机制，促进公立医院服务效能和内部治理水平不断提高，根据《行政事业单位内部控制规范》《关于全面推进行政事业单位内部控制建设的指导意见》等要求，制定本办法。</w:t>
      </w:r>
    </w:p>
    <w:p w14:paraId="76C7C69F" w14:textId="77777777" w:rsidR="00AE515F" w:rsidRDefault="00AE515F" w:rsidP="00AE515F">
      <w:pPr>
        <w:pStyle w:val="a3"/>
        <w:spacing w:line="560" w:lineRule="atLeast"/>
        <w:ind w:firstLine="640"/>
        <w:jc w:val="both"/>
        <w:rPr>
          <w:rFonts w:ascii="Calibri" w:hAnsi="Calibri"/>
          <w:sz w:val="21"/>
          <w:szCs w:val="21"/>
        </w:rPr>
      </w:pPr>
      <w:r>
        <w:rPr>
          <w:rFonts w:ascii="黑体" w:eastAsia="黑体" w:hAnsi="黑体" w:hint="eastAsia"/>
          <w:color w:val="000000"/>
          <w:sz w:val="32"/>
          <w:szCs w:val="32"/>
        </w:rPr>
        <w:t>第二条</w:t>
      </w:r>
      <w:r>
        <w:rPr>
          <w:rFonts w:ascii="Times New Roman" w:hAnsi="Times New Roman" w:cs="Times New Roman"/>
          <w:b/>
          <w:bCs/>
          <w:color w:val="000000"/>
          <w:sz w:val="32"/>
          <w:szCs w:val="32"/>
        </w:rPr>
        <w:t xml:space="preserve"> </w:t>
      </w:r>
      <w:r>
        <w:rPr>
          <w:rFonts w:ascii="仿宋" w:eastAsia="仿宋" w:hAnsi="仿宋" w:hint="eastAsia"/>
          <w:color w:val="000000"/>
          <w:sz w:val="32"/>
          <w:szCs w:val="32"/>
        </w:rPr>
        <w:t>本办法适用于全国各级卫生健康行政部门、中医药主管部门举办的各级各类公立医院（以下简称医院）</w:t>
      </w:r>
      <w:r>
        <w:rPr>
          <w:rFonts w:ascii="仿宋" w:eastAsia="仿宋" w:hAnsi="仿宋" w:hint="eastAsia"/>
          <w:sz w:val="32"/>
          <w:szCs w:val="32"/>
        </w:rPr>
        <w:t>。其他部门举办的公立医院参照执行。</w:t>
      </w:r>
    </w:p>
    <w:p w14:paraId="691BAB7C" w14:textId="77777777" w:rsidR="00AE515F" w:rsidRDefault="00AE515F" w:rsidP="00AE515F">
      <w:pPr>
        <w:pStyle w:val="a3"/>
        <w:spacing w:line="560" w:lineRule="atLeast"/>
        <w:ind w:left="7" w:firstLine="560"/>
        <w:jc w:val="both"/>
        <w:rPr>
          <w:rFonts w:ascii="Calibri" w:hAnsi="Calibri"/>
          <w:sz w:val="21"/>
          <w:szCs w:val="21"/>
        </w:rPr>
      </w:pPr>
      <w:r>
        <w:rPr>
          <w:rFonts w:ascii="黑体" w:eastAsia="黑体" w:hAnsi="黑体" w:hint="eastAsia"/>
          <w:color w:val="000000"/>
          <w:sz w:val="32"/>
          <w:szCs w:val="32"/>
        </w:rPr>
        <w:t>第三条</w:t>
      </w:r>
      <w:r>
        <w:rPr>
          <w:rFonts w:ascii="Times New Roman" w:hAnsi="Times New Roman" w:cs="Times New Roman"/>
          <w:color w:val="000000"/>
          <w:sz w:val="32"/>
          <w:szCs w:val="32"/>
        </w:rPr>
        <w:t xml:space="preserve"> </w:t>
      </w:r>
      <w:r>
        <w:rPr>
          <w:rFonts w:ascii="仿宋" w:eastAsia="仿宋" w:hAnsi="仿宋" w:hint="eastAsia"/>
          <w:color w:val="000000"/>
          <w:sz w:val="32"/>
          <w:szCs w:val="32"/>
        </w:rPr>
        <w:t>本办法所称的内部控制，是指在坚持公益性原则的前提下，为了实现合法合</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风险可控、高质高效和可持续发展的运营目标，医院内部建立的一种相互制约、相互监督的业务组织形式和职责分工制度；是通过制定制度、实施措施和执行程序，对经济活动及相关业务活动的运营风险进行有效防范和管控的一系列方法和手段的总称。</w:t>
      </w:r>
    </w:p>
    <w:p w14:paraId="658E994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第四条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医院内部控制的目标主要包括：保证医院经济活动合法合</w:t>
      </w:r>
      <w:proofErr w:type="gramStart"/>
      <w:r>
        <w:rPr>
          <w:rFonts w:ascii="仿宋" w:eastAsia="仿宋" w:hAnsi="仿宋" w:cs="Times New Roman" w:hint="eastAsia"/>
          <w:color w:val="000000"/>
          <w:sz w:val="32"/>
          <w:szCs w:val="32"/>
        </w:rPr>
        <w:t>规</w:t>
      </w:r>
      <w:proofErr w:type="gramEnd"/>
      <w:r>
        <w:rPr>
          <w:rFonts w:ascii="仿宋" w:eastAsia="仿宋" w:hAnsi="仿宋" w:cs="Times New Roman" w:hint="eastAsia"/>
          <w:color w:val="000000"/>
          <w:sz w:val="32"/>
          <w:szCs w:val="32"/>
        </w:rPr>
        <w:t>、资产安全和使用有效、财务信息真实完整，有效防范舞弊和预防腐败、提高资源配置和使用效益。</w:t>
      </w:r>
    </w:p>
    <w:p w14:paraId="2A9AFB7B" w14:textId="77777777" w:rsidR="00AE515F" w:rsidRDefault="00AE515F" w:rsidP="00AE515F">
      <w:pPr>
        <w:pStyle w:val="a3"/>
        <w:spacing w:line="560" w:lineRule="atLeast"/>
        <w:ind w:left="7" w:firstLine="560"/>
        <w:jc w:val="both"/>
        <w:rPr>
          <w:rFonts w:ascii="Calibri" w:hAnsi="Calibri"/>
          <w:sz w:val="21"/>
          <w:szCs w:val="21"/>
        </w:rPr>
      </w:pPr>
      <w:r>
        <w:rPr>
          <w:rFonts w:ascii="黑体" w:eastAsia="黑体" w:hAnsi="黑体" w:hint="eastAsia"/>
          <w:color w:val="000000"/>
          <w:sz w:val="32"/>
          <w:szCs w:val="32"/>
        </w:rPr>
        <w:lastRenderedPageBreak/>
        <w:t>第五条</w:t>
      </w:r>
      <w:r>
        <w:rPr>
          <w:rFonts w:ascii="Times New Roman" w:hAnsi="Times New Roman" w:cs="Times New Roman"/>
          <w:color w:val="000000"/>
          <w:sz w:val="32"/>
          <w:szCs w:val="32"/>
        </w:rPr>
        <w:t xml:space="preserve"> </w:t>
      </w:r>
      <w:r>
        <w:rPr>
          <w:rFonts w:ascii="仿宋" w:eastAsia="仿宋" w:hAnsi="仿宋" w:hint="eastAsia"/>
          <w:color w:val="000000"/>
          <w:sz w:val="32"/>
          <w:szCs w:val="32"/>
        </w:rPr>
        <w:t>医院内部控制主要包括：风险评估、内部控制建设、内部控制报告、内部控制评价。</w:t>
      </w:r>
    </w:p>
    <w:p w14:paraId="16AE6A7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第六条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内部控制应当以规范经济活动及相关业务活动有序开展为主线，以内部控制量化评价为导向，以信息化为支撑，突出规范重点领域、重要事项、关键岗位的流程管控和制约机制，建立与本行业和本单位治理体系和治理能力相适应的、权责一致、制衡有效、运行顺畅、执行有力的内部控制体系，规范内部权力运行、促进依法办事、推进廉政建设、保障事业发展。</w:t>
      </w:r>
    </w:p>
    <w:p w14:paraId="3C37F7D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第七条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医院内部控制应当覆盖医疗教学科研等业务活动和经济活动，要把内部控制要求融入到单位制度体系和业务流程，贯穿内部权力运行的决策、执行和监督全过程，形成内部控制监管合力。</w:t>
      </w:r>
    </w:p>
    <w:p w14:paraId="4A2C5A1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 </w:t>
      </w:r>
    </w:p>
    <w:p w14:paraId="2289BDF0"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第二章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管理职责</w:t>
      </w:r>
    </w:p>
    <w:p w14:paraId="19486AE5"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第八条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医院党委要发挥在医院内部控制建设中的领导作用；主要负责人是内部控制建设的首要责任人，对内部控制的建立健全和有效实施负责；医院领导班子其他成员要抓好各自分管领域的内部控制建设工作。</w:t>
      </w:r>
    </w:p>
    <w:p w14:paraId="0A398A5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第九条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医院应当设立内部控制领导小组，主要负责人任组长。领导小组主要职责包括：建立健全内部控制建设组织体系，审议内部控制组织机构设置及其职责；审议内部控</w:t>
      </w:r>
      <w:r>
        <w:rPr>
          <w:rFonts w:ascii="仿宋" w:eastAsia="仿宋" w:hAnsi="仿宋" w:cs="Times New Roman" w:hint="eastAsia"/>
          <w:sz w:val="32"/>
          <w:szCs w:val="32"/>
        </w:rPr>
        <w:lastRenderedPageBreak/>
        <w:t>制规章制度、建设方案、工作计划、工作报告等；组织内部控制文化培育，推动内部控制建设常态化。</w:t>
      </w:r>
    </w:p>
    <w:p w14:paraId="5C7CF974" w14:textId="77777777" w:rsidR="00AE515F" w:rsidRDefault="00AE515F" w:rsidP="00AE515F">
      <w:pPr>
        <w:pStyle w:val="a3"/>
        <w:spacing w:line="560" w:lineRule="atLeast"/>
        <w:jc w:val="both"/>
        <w:rPr>
          <w:rFonts w:ascii="Times New Roman" w:hAnsi="Times New Roman" w:cs="Times New Roman"/>
          <w:sz w:val="32"/>
          <w:szCs w:val="32"/>
        </w:rPr>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xml:space="preserve"> </w:t>
      </w:r>
      <w:r>
        <w:rPr>
          <w:rFonts w:ascii="黑体" w:eastAsia="黑体" w:hAnsi="黑体" w:cs="Times New Roman" w:hint="eastAsia"/>
          <w:color w:val="000000"/>
          <w:sz w:val="32"/>
          <w:szCs w:val="32"/>
        </w:rPr>
        <w:t>第十条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医院应当明确本单位内部控制</w:t>
      </w:r>
      <w:r>
        <w:rPr>
          <w:rFonts w:ascii="仿宋" w:eastAsia="仿宋" w:hAnsi="仿宋" w:cs="Times New Roman" w:hint="eastAsia"/>
          <w:sz w:val="32"/>
          <w:szCs w:val="32"/>
        </w:rPr>
        <w:t>建设</w:t>
      </w:r>
      <w:r>
        <w:rPr>
          <w:rFonts w:ascii="仿宋" w:eastAsia="仿宋" w:hAnsi="仿宋" w:cs="Times New Roman" w:hint="eastAsia"/>
          <w:color w:val="000000"/>
          <w:sz w:val="32"/>
          <w:szCs w:val="32"/>
        </w:rPr>
        <w:t>职能部门或确定牵头部门，组织落实本单位内部控制建设工作，包括研究建立内部控制制度体系，编订内部控制手册；组织编制年度内部控制工作计划并实施；推动内部控制信息化建设；组织编写内部控制报告等。</w:t>
      </w:r>
    </w:p>
    <w:p w14:paraId="417ACCC7" w14:textId="77777777" w:rsidR="00AE515F" w:rsidRDefault="00AE515F" w:rsidP="00AE515F">
      <w:pPr>
        <w:pStyle w:val="a3"/>
        <w:spacing w:line="560" w:lineRule="atLeast"/>
        <w:jc w:val="both"/>
        <w:rPr>
          <w:rFonts w:ascii="Times New Roman" w:hAnsi="Times New Roman" w:cs="Times New Roman"/>
          <w:sz w:val="32"/>
          <w:szCs w:val="32"/>
        </w:rPr>
      </w:pP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第十一条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医院由内部审计部门或确定其他部门牵头负责本单位风险评估和内部控制评价工作，制定相关制度；组织开展风险评估；制定内部控制评价方案并实施，编写评价报告等。</w:t>
      </w:r>
    </w:p>
    <w:p w14:paraId="1F0ECEE1" w14:textId="77777777" w:rsidR="00AE515F" w:rsidRDefault="00AE515F" w:rsidP="00AE515F">
      <w:pPr>
        <w:pStyle w:val="a3"/>
        <w:spacing w:line="560" w:lineRule="atLeast"/>
        <w:jc w:val="both"/>
        <w:rPr>
          <w:rFonts w:ascii="Times New Roman" w:hAnsi="Times New Roman" w:cs="Times New Roman"/>
          <w:sz w:val="32"/>
          <w:szCs w:val="32"/>
        </w:rPr>
      </w:pP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第十二条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医院内部纪检监察部门负责本单位廉政风险防控工作，建立廉政风险防控机制，开展内部权力运行监控；建立重点人员、重要岗位和关键环节廉政风险信息收集和评估等制度。</w:t>
      </w:r>
    </w:p>
    <w:p w14:paraId="16234663"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第十三条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医务管理部门负责本单位医疗业务相关的内部控制工作，加强临床科室在药品、医用耗材、医疗设备的引进和使用过程中的管理，规范医疗服务行为，防范相关内涵经济活动的医疗业务（即实施该医疗业务可以获取收入或消耗人财物等资源）风险，及时纠正存在的问题等。</w:t>
      </w:r>
    </w:p>
    <w:p w14:paraId="625003B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第十四条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医院内部各部门（含科室）是本部门内部控制建设和实施的责任主体，部门负责人对本部门的内部控制建</w:t>
      </w:r>
      <w:r>
        <w:rPr>
          <w:rFonts w:ascii="仿宋" w:eastAsia="仿宋" w:hAnsi="仿宋" w:cs="Times New Roman" w:hint="eastAsia"/>
          <w:color w:val="000000"/>
          <w:sz w:val="32"/>
          <w:szCs w:val="32"/>
        </w:rPr>
        <w:lastRenderedPageBreak/>
        <w:t>设和实施的有效性负责，应对相关业务和事项进行梳理，确定主要风险、关键环节和关键控制点，制定相应的控制措施，持续改进内部控制缺陷。</w:t>
      </w:r>
    </w:p>
    <w:p w14:paraId="32ABE684"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color w:val="000000"/>
          <w:sz w:val="32"/>
          <w:szCs w:val="32"/>
        </w:rPr>
        <w:t> </w:t>
      </w:r>
    </w:p>
    <w:p w14:paraId="07B717AB"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第三章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风险评估管理</w:t>
      </w:r>
    </w:p>
    <w:p w14:paraId="1613BA10"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第十五条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本办法所称风险评估，是指医院全面、系统和客观地识别、分析本单位经济活动及相关业务活动存在的风险，确定相应的风险承受度及风险应对策略的过程。</w:t>
      </w:r>
    </w:p>
    <w:p w14:paraId="0DD5C178"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第十六条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风险评估至少每年进行一次；外部环境、业务活动、经济活动或管理要求等发生重大变化的，应当及时对经济活动及相关业务活动的风险进行重新评估。</w:t>
      </w:r>
    </w:p>
    <w:p w14:paraId="5C6BE146"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第十七条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医院内部审计部门或确定的牵头部门应当自行或聘请具有相应资质的第三方机构开展风险评估工作，风险评估结果应当形成书面报告，作为完善内部控制的依据。</w:t>
      </w:r>
    </w:p>
    <w:p w14:paraId="31AE1B9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第十八条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医院应当根据本单位设定的内部控制目标和建设规划，有针对性地选择风险评估对象。风险评估对象可以是整个单位或某个部门（科室），也可以是某项业务、某个项目或具体事项。</w:t>
      </w:r>
    </w:p>
    <w:p w14:paraId="7F662010"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第十九条</w:t>
      </w:r>
      <w:r>
        <w:rPr>
          <w:rFonts w:ascii="Times New Roman" w:hAnsi="Times New Roman" w:cs="Times New Roman"/>
          <w:b/>
          <w:bCs/>
          <w:color w:val="000000"/>
          <w:sz w:val="32"/>
          <w:szCs w:val="32"/>
        </w:rPr>
        <w:t xml:space="preserve"> </w:t>
      </w:r>
      <w:r>
        <w:rPr>
          <w:rFonts w:ascii="仿宋" w:eastAsia="仿宋" w:hAnsi="仿宋" w:cs="Times New Roman" w:hint="eastAsia"/>
          <w:color w:val="000000"/>
          <w:sz w:val="32"/>
          <w:szCs w:val="32"/>
        </w:rPr>
        <w:t>单位层面的风险评估应当重点关注以下方面：</w:t>
      </w:r>
      <w:r>
        <w:rPr>
          <w:rFonts w:ascii="Times New Roman" w:hAnsi="Times New Roman" w:cs="Times New Roman"/>
          <w:color w:val="000000"/>
          <w:sz w:val="32"/>
          <w:szCs w:val="32"/>
        </w:rPr>
        <w:t xml:space="preserve"> </w:t>
      </w:r>
    </w:p>
    <w:p w14:paraId="0BE8F157"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（一）内部控制组织建设情况。包括是否建立领导小组，是否确定内部控制职能部门或牵头部门；是否建立部门间的内部控制沟通协调和联动机制等。</w:t>
      </w:r>
      <w:r>
        <w:rPr>
          <w:rFonts w:ascii="Times New Roman" w:hAnsi="Times New Roman" w:cs="Times New Roman"/>
          <w:color w:val="000000"/>
          <w:sz w:val="32"/>
          <w:szCs w:val="32"/>
        </w:rPr>
        <w:t xml:space="preserve"> </w:t>
      </w:r>
    </w:p>
    <w:p w14:paraId="027F3CE6"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lastRenderedPageBreak/>
        <w:t>（二）内部控制机制建设情况。包括经济活动的决策、执行、监督是否实现有效分离；权责是否对等；是否建立健全议事决策机制、岗位责任制、内部监督等机制。</w:t>
      </w:r>
      <w:r>
        <w:rPr>
          <w:rFonts w:ascii="Times New Roman" w:hAnsi="Times New Roman" w:cs="Times New Roman"/>
          <w:color w:val="000000"/>
          <w:sz w:val="32"/>
          <w:szCs w:val="32"/>
        </w:rPr>
        <w:t xml:space="preserve"> </w:t>
      </w:r>
    </w:p>
    <w:p w14:paraId="664FF00F"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（三）内部控制制度建设情况。包括内部管理制度是否健全，内部管理制度是否体现内部控制要求，相关制度是否有效执行等。</w:t>
      </w:r>
      <w:r>
        <w:rPr>
          <w:rFonts w:ascii="Times New Roman" w:hAnsi="Times New Roman" w:cs="Times New Roman"/>
          <w:color w:val="000000"/>
          <w:sz w:val="32"/>
          <w:szCs w:val="32"/>
        </w:rPr>
        <w:t xml:space="preserve"> </w:t>
      </w:r>
    </w:p>
    <w:p w14:paraId="23B96B9C"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（四）内部控制队伍建设情况。包括关键岗位人员是否具备相应的资格和能力；是否建立相关工作人员评价、轮岗等机制；是否组织内部控制相关培训等。</w:t>
      </w:r>
      <w:r>
        <w:rPr>
          <w:rFonts w:ascii="Times New Roman" w:hAnsi="Times New Roman" w:cs="Times New Roman"/>
          <w:color w:val="000000"/>
          <w:sz w:val="32"/>
          <w:szCs w:val="32"/>
        </w:rPr>
        <w:t xml:space="preserve"> </w:t>
      </w:r>
    </w:p>
    <w:p w14:paraId="1B620954"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（五）内部控制流程建设情况。包括是否建立经济活动及相关业务活动的内部控制流程；是否将科学规范有效的内部控制流程嵌入相关信息化系统；内部控制方法的应用是否完整有效等。</w:t>
      </w:r>
    </w:p>
    <w:p w14:paraId="1B0CA433" w14:textId="77777777" w:rsidR="00AE515F" w:rsidRDefault="00AE515F" w:rsidP="00AE515F">
      <w:pPr>
        <w:pStyle w:val="a3"/>
        <w:spacing w:line="560" w:lineRule="atLeast"/>
        <w:ind w:firstLine="640"/>
        <w:jc w:val="both"/>
        <w:rPr>
          <w:rFonts w:ascii="Calibri" w:hAnsi="Calibri"/>
          <w:sz w:val="21"/>
          <w:szCs w:val="21"/>
        </w:rPr>
      </w:pPr>
      <w:r>
        <w:rPr>
          <w:rFonts w:ascii="仿宋" w:eastAsia="仿宋" w:hAnsi="仿宋" w:hint="eastAsia"/>
          <w:color w:val="000000"/>
          <w:sz w:val="32"/>
          <w:szCs w:val="32"/>
        </w:rPr>
        <w:t>（六）其他需要关注的内容。</w:t>
      </w:r>
    </w:p>
    <w:p w14:paraId="4F03F358" w14:textId="77777777" w:rsidR="00AE515F" w:rsidRDefault="00AE515F" w:rsidP="00AE515F">
      <w:pPr>
        <w:pStyle w:val="a3"/>
        <w:spacing w:line="560" w:lineRule="atLeast"/>
        <w:ind w:firstLine="640"/>
        <w:jc w:val="both"/>
        <w:rPr>
          <w:rFonts w:ascii="Calibri" w:hAnsi="Calibri"/>
          <w:sz w:val="21"/>
          <w:szCs w:val="21"/>
        </w:rPr>
      </w:pPr>
      <w:r>
        <w:rPr>
          <w:rFonts w:ascii="黑体" w:eastAsia="黑体" w:hAnsi="黑体" w:hint="eastAsia"/>
          <w:color w:val="000000"/>
          <w:sz w:val="32"/>
          <w:szCs w:val="32"/>
        </w:rPr>
        <w:t>第二十条</w:t>
      </w:r>
      <w:r>
        <w:rPr>
          <w:rFonts w:ascii="Times New Roman" w:hAnsi="Times New Roman" w:cs="Times New Roman"/>
          <w:b/>
          <w:bCs/>
          <w:color w:val="000000"/>
          <w:sz w:val="32"/>
          <w:szCs w:val="32"/>
        </w:rPr>
        <w:t xml:space="preserve"> </w:t>
      </w:r>
      <w:r>
        <w:rPr>
          <w:rFonts w:ascii="仿宋" w:eastAsia="仿宋" w:hAnsi="仿宋" w:hint="eastAsia"/>
          <w:color w:val="000000"/>
          <w:sz w:val="32"/>
          <w:szCs w:val="32"/>
        </w:rPr>
        <w:t>业务层面的风险评估应当重点关注以下方面：</w:t>
      </w:r>
      <w:r>
        <w:rPr>
          <w:rFonts w:ascii="Times New Roman" w:hAnsi="Times New Roman" w:cs="Times New Roman"/>
          <w:color w:val="000000"/>
          <w:sz w:val="32"/>
          <w:szCs w:val="32"/>
        </w:rPr>
        <w:t xml:space="preserve"> </w:t>
      </w:r>
    </w:p>
    <w:p w14:paraId="659B675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一）预算管理情况。包括在预算编制过程中医院内部各部门之间沟通协调是否充分；预算编制是否符合本单位战略目标和年度工作计划；预算编制与资产配置是否相结合、与具体工作是否相对应；是否按照批复的额度和开支范围执行预算，进度是否合理，是否存在无预算、超预算支出等问题；决算编报是否真实、完整、准确、及时等。</w:t>
      </w:r>
      <w:r>
        <w:rPr>
          <w:rFonts w:ascii="Times New Roman" w:hAnsi="Times New Roman" w:cs="Times New Roman"/>
          <w:color w:val="000000"/>
          <w:sz w:val="32"/>
          <w:szCs w:val="32"/>
        </w:rPr>
        <w:t xml:space="preserve"> </w:t>
      </w:r>
    </w:p>
    <w:p w14:paraId="15D91FF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lastRenderedPageBreak/>
        <w:t>（二）收支管理情况。包括收入来源是否合法合</w:t>
      </w:r>
      <w:proofErr w:type="gramStart"/>
      <w:r>
        <w:rPr>
          <w:rFonts w:ascii="仿宋" w:eastAsia="仿宋" w:hAnsi="仿宋" w:cs="Times New Roman" w:hint="eastAsia"/>
          <w:color w:val="000000"/>
          <w:sz w:val="32"/>
          <w:szCs w:val="32"/>
        </w:rPr>
        <w:t>规</w:t>
      </w:r>
      <w:proofErr w:type="gramEnd"/>
      <w:r>
        <w:rPr>
          <w:rFonts w:ascii="仿宋" w:eastAsia="仿宋" w:hAnsi="仿宋" w:cs="Times New Roman" w:hint="eastAsia"/>
          <w:color w:val="000000"/>
          <w:sz w:val="32"/>
          <w:szCs w:val="32"/>
        </w:rPr>
        <w:t>，是否符合价格和收费管理相关规定，是否实现归口管理，是否按照规定及时提供有关凭据，是否按照规定保管和使用印章和票据等；发生支出事项时是否按照规定程序审核审批，是否审核各类凭据的真实性、合法性，是否存在使用虚假票据套取资金的情形等。</w:t>
      </w:r>
      <w:r>
        <w:rPr>
          <w:rFonts w:ascii="Times New Roman" w:hAnsi="Times New Roman" w:cs="Times New Roman"/>
          <w:color w:val="000000"/>
          <w:sz w:val="32"/>
          <w:szCs w:val="32"/>
        </w:rPr>
        <w:t xml:space="preserve"> </w:t>
      </w:r>
    </w:p>
    <w:p w14:paraId="45AB537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（三）政府采购管理情况。包括是否实现政府采购业务归口管理；是否按照预算和计划组织政府采购业务；是否按照规定组织政府采购活动和执行验收程序；是否按照规定保管政府采购业务相关档案等。</w:t>
      </w:r>
      <w:r>
        <w:rPr>
          <w:rFonts w:ascii="Times New Roman" w:hAnsi="Times New Roman" w:cs="Times New Roman"/>
          <w:color w:val="000000"/>
          <w:sz w:val="32"/>
          <w:szCs w:val="32"/>
        </w:rPr>
        <w:t xml:space="preserve"> </w:t>
      </w:r>
    </w:p>
    <w:p w14:paraId="58AED4A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（四）资产管理情况。包括是否实现资产归口管理并明确使用责任；是否定期对资产进行清查盘点，对账实不符的情况是否及时处理；是否按照规定处置资产等。</w:t>
      </w:r>
      <w:r>
        <w:rPr>
          <w:rFonts w:ascii="Times New Roman" w:hAnsi="Times New Roman" w:cs="Times New Roman"/>
          <w:color w:val="000000"/>
          <w:sz w:val="32"/>
          <w:szCs w:val="32"/>
        </w:rPr>
        <w:t xml:space="preserve"> </w:t>
      </w:r>
    </w:p>
    <w:p w14:paraId="4621CAC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五）建设项目管理情况。包括是否实行建设项目归口管理；是否按照概算投资实施基本建设项目；是否严格履行审核审批程序；是否建立有效的招投标控制机制；是否存在截留、挤占、挪用、套取建设项目资金的情形；是否按照规定保存建设项目相关档案并及时办理移交手续等。</w:t>
      </w:r>
    </w:p>
    <w:p w14:paraId="196C737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（六）合同管理情况。包括是否实现合同归口管理；是否建立并执行合同签订的审核机制；是否明确应当签订合同的经济活动范围和条件；是否有效监控合同履行情况，是否建立合同纠纷协调机制等。</w:t>
      </w:r>
      <w:r>
        <w:rPr>
          <w:rFonts w:ascii="Times New Roman" w:hAnsi="Times New Roman" w:cs="Times New Roman"/>
          <w:color w:val="000000"/>
          <w:sz w:val="32"/>
          <w:szCs w:val="32"/>
        </w:rPr>
        <w:t xml:space="preserve"> </w:t>
      </w:r>
    </w:p>
    <w:p w14:paraId="70970AF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lastRenderedPageBreak/>
        <w:t>（七）医疗业务管理情况。包括医院是否执行临床诊疗规范；是否建立合理检查、合理用药管控机制；是否建立按规定引进和使用药品、耗材、医疗设备的规则；是否落实医疗服务项目规范；是否定期检查与强制性医疗安全卫生健康标准的相符性；是否对存在问题及时整改等。</w:t>
      </w:r>
    </w:p>
    <w:p w14:paraId="6D8C013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八）科研项目和临床试验项目管理情况。包括是否实现科研或临床试验项目归口管理；是否建立项目立项管理程序，项目立项论证是否充分；是否按照批复的预算和合同约定使用科研或临床试验资金；是否采取有效措施保护技术成果；是否建立科研档案管理规定等。</w:t>
      </w:r>
    </w:p>
    <w:p w14:paraId="2F186FD5"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（九）教学管理情况。是否实现教学业务归口管理；是否制定教学相关管理制度；是否按批复预算使用教学资金，是否专款专用等。</w:t>
      </w:r>
    </w:p>
    <w:p w14:paraId="5786FCC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十）互联网诊疗管理情况。包括实现互联网诊疗业务归口管理；是否取得互联网诊疗业务准入资格；开展的互联网诊疗项目是否经有关部门核准；是否建立信息安全管理制度；电子病历及处方等是否符合相关规定等。</w:t>
      </w:r>
    </w:p>
    <w:p w14:paraId="709CDD59"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（十一）</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联体管理情况。包括是否实现</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联体业务归口管理；是否明确内部责任分工；是否建立内部协调协作机制等。</w:t>
      </w:r>
    </w:p>
    <w:p w14:paraId="4CE484DC"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color w:val="000000"/>
          <w:sz w:val="32"/>
          <w:szCs w:val="32"/>
        </w:rPr>
        <w:t>（十二）信息系统管理情况。包括是否实现信息化建设归口管理；是否制定信息系统建设总体规划；是否符合信息</w:t>
      </w:r>
      <w:r>
        <w:rPr>
          <w:rFonts w:ascii="仿宋" w:eastAsia="仿宋" w:hAnsi="仿宋" w:cs="Times New Roman" w:hint="eastAsia"/>
          <w:color w:val="000000"/>
          <w:sz w:val="32"/>
          <w:szCs w:val="32"/>
        </w:rPr>
        <w:lastRenderedPageBreak/>
        <w:t>化建设相关标准规范；是否将内部控制流程和要求嵌入信息系统，是否实现各主要信息系统之间的互联互通、信息共享和业务协同；是否采取有效措施强化信息系统安全等。</w:t>
      </w:r>
    </w:p>
    <w:p w14:paraId="75C9CA8E"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Times New Roman" w:hAnsi="Times New Roman" w:cs="Times New Roman"/>
          <w:color w:val="000000"/>
          <w:sz w:val="32"/>
          <w:szCs w:val="32"/>
        </w:rPr>
        <w:t> </w:t>
      </w:r>
    </w:p>
    <w:p w14:paraId="596C933C" w14:textId="77777777" w:rsidR="00AE515F" w:rsidRDefault="00AE515F" w:rsidP="00AE515F">
      <w:pPr>
        <w:pStyle w:val="a3"/>
        <w:spacing w:line="560" w:lineRule="atLeast"/>
        <w:jc w:val="right"/>
        <w:rPr>
          <w:rFonts w:ascii="Times New Roman" w:hAnsi="Times New Roman" w:cs="Times New Roman"/>
          <w:sz w:val="32"/>
          <w:szCs w:val="32"/>
        </w:rPr>
      </w:pPr>
      <w:r>
        <w:rPr>
          <w:rFonts w:ascii="黑体" w:eastAsia="黑体" w:hAnsi="黑体" w:cs="Times New Roman" w:hint="eastAsia"/>
          <w:sz w:val="32"/>
          <w:szCs w:val="32"/>
        </w:rPr>
        <w:t>第四章</w:t>
      </w:r>
      <w:r>
        <w:rPr>
          <w:rFonts w:ascii="Times New Roman" w:hAnsi="Times New Roman" w:cs="Times New Roman"/>
          <w:sz w:val="32"/>
          <w:szCs w:val="32"/>
        </w:rPr>
        <w:t> </w:t>
      </w:r>
      <w:r>
        <w:rPr>
          <w:rFonts w:ascii="Times New Roman" w:hAnsi="Times New Roman" w:cs="Times New Roman"/>
          <w:sz w:val="32"/>
          <w:szCs w:val="32"/>
        </w:rPr>
        <w:t xml:space="preserve"> </w:t>
      </w:r>
      <w:r>
        <w:rPr>
          <w:rFonts w:ascii="黑体" w:eastAsia="黑体" w:hAnsi="黑体" w:cs="Times New Roman" w:hint="eastAsia"/>
          <w:sz w:val="32"/>
          <w:szCs w:val="32"/>
        </w:rPr>
        <w:t>单位层面的内部控制建设</w:t>
      </w:r>
    </w:p>
    <w:p w14:paraId="35594322"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黑体" w:eastAsia="黑体" w:hAnsi="黑体" w:cs="Times New Roman" w:hint="eastAsia"/>
          <w:color w:val="000000"/>
          <w:sz w:val="32"/>
          <w:szCs w:val="32"/>
        </w:rPr>
        <w:t>第二十一条</w:t>
      </w:r>
      <w:r>
        <w:rPr>
          <w:rFonts w:ascii="Times New Roman" w:hAnsi="Times New Roman" w:cs="Times New Roman"/>
          <w:b/>
          <w:bCs/>
          <w:sz w:val="32"/>
          <w:szCs w:val="32"/>
        </w:rPr>
        <w:t xml:space="preserve"> </w:t>
      </w:r>
      <w:r>
        <w:rPr>
          <w:rFonts w:ascii="仿宋" w:eastAsia="仿宋" w:hAnsi="仿宋" w:cs="Times New Roman" w:hint="eastAsia"/>
          <w:sz w:val="32"/>
          <w:szCs w:val="32"/>
        </w:rPr>
        <w:t>单位层面内部控制建设主要包括：单位决策机制，内部管理机构设置及职责分工，决策和执行的制衡机制；内部管理制度的健全；关键岗位管理和信息化建设等。</w:t>
      </w:r>
    </w:p>
    <w:p w14:paraId="3C713D21"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黑体" w:eastAsia="黑体" w:hAnsi="黑体" w:cs="Times New Roman" w:hint="eastAsia"/>
          <w:color w:val="000000"/>
          <w:sz w:val="32"/>
          <w:szCs w:val="32"/>
        </w:rPr>
        <w:t>第二十二条</w:t>
      </w:r>
      <w:r>
        <w:rPr>
          <w:rFonts w:ascii="Times New Roman" w:hAnsi="Times New Roman" w:cs="Times New Roman"/>
          <w:b/>
          <w:bCs/>
          <w:sz w:val="32"/>
          <w:szCs w:val="32"/>
        </w:rPr>
        <w:t xml:space="preserve"> </w:t>
      </w:r>
      <w:r>
        <w:rPr>
          <w:rFonts w:ascii="仿宋" w:eastAsia="仿宋" w:hAnsi="仿宋" w:cs="Times New Roman" w:hint="eastAsia"/>
          <w:b/>
          <w:bCs/>
          <w:sz w:val="32"/>
          <w:szCs w:val="32"/>
        </w:rPr>
        <w:t>医院</w:t>
      </w:r>
      <w:r>
        <w:rPr>
          <w:rFonts w:ascii="仿宋" w:eastAsia="仿宋" w:hAnsi="仿宋" w:cs="Times New Roman" w:hint="eastAsia"/>
          <w:sz w:val="32"/>
          <w:szCs w:val="32"/>
        </w:rPr>
        <w:t>内部控制领导小组每年至少召开一次会议，研究本单位内部控制管理工作。</w:t>
      </w:r>
      <w:r>
        <w:rPr>
          <w:rFonts w:ascii="Times New Roman" w:hAnsi="Times New Roman" w:cs="Times New Roman"/>
          <w:sz w:val="32"/>
          <w:szCs w:val="32"/>
        </w:rPr>
        <w:t xml:space="preserve"> </w:t>
      </w:r>
    </w:p>
    <w:p w14:paraId="5F42E34B"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仿宋" w:eastAsia="仿宋" w:hAnsi="仿宋" w:cs="Times New Roman" w:hint="eastAsia"/>
          <w:sz w:val="32"/>
          <w:szCs w:val="32"/>
        </w:rPr>
        <w:t>内部控制职能部门或牵头部门应当围绕本单位事业发展规划、年度工作计划等制订内部控制工作计划。</w:t>
      </w:r>
    </w:p>
    <w:p w14:paraId="241698F4" w14:textId="77777777" w:rsidR="00AE515F" w:rsidRDefault="00AE515F" w:rsidP="00AE515F">
      <w:pPr>
        <w:pStyle w:val="a3"/>
        <w:spacing w:line="560" w:lineRule="atLeast"/>
        <w:ind w:firstLine="470"/>
        <w:jc w:val="both"/>
        <w:rPr>
          <w:rFonts w:ascii="Times New Roman" w:hAnsi="Times New Roman" w:cs="Times New Roman"/>
          <w:sz w:val="32"/>
          <w:szCs w:val="32"/>
        </w:rPr>
      </w:pPr>
      <w:r>
        <w:rPr>
          <w:rFonts w:ascii="仿宋" w:eastAsia="仿宋" w:hAnsi="仿宋" w:cs="Times New Roman" w:hint="eastAsia"/>
          <w:sz w:val="32"/>
          <w:szCs w:val="32"/>
        </w:rPr>
        <w:t>充分发挥医务、教学、科研、预防、资产（药品、设备、耗材等）、</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保、财务、人事、内部审计、纪检监察、采购、基建、后勤、信息等部门在内部控制中的作用。</w:t>
      </w:r>
    </w:p>
    <w:p w14:paraId="11F680EA"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第二十三条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w:t>
      </w:r>
      <w:proofErr w:type="gramStart"/>
      <w:r>
        <w:rPr>
          <w:rFonts w:ascii="仿宋" w:eastAsia="仿宋" w:hAnsi="仿宋" w:cs="Times New Roman" w:hint="eastAsia"/>
          <w:sz w:val="32"/>
          <w:szCs w:val="32"/>
        </w:rPr>
        <w:t>按照分事行权</w:t>
      </w:r>
      <w:proofErr w:type="gramEnd"/>
      <w:r>
        <w:rPr>
          <w:rFonts w:ascii="仿宋" w:eastAsia="仿宋" w:hAnsi="仿宋" w:cs="Times New Roman" w:hint="eastAsia"/>
          <w:sz w:val="32"/>
          <w:szCs w:val="32"/>
        </w:rPr>
        <w:t>、分岗设权、分级授权的原则，在职责分工、业务流程、关键岗位等方面规范授权和审批程序，确保不相容岗位相互分离、相互制约、相互监督，规范内部权力运行，建立责任追究制度。</w:t>
      </w:r>
    </w:p>
    <w:p w14:paraId="38BC544B"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第二十四条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医院应当建立健全内部管理制度，包括运营管理制度、组织决策制度、人事管理制度、财务资产管理</w:t>
      </w:r>
      <w:r>
        <w:rPr>
          <w:rFonts w:ascii="仿宋" w:eastAsia="仿宋" w:hAnsi="仿宋" w:cs="Times New Roman" w:hint="eastAsia"/>
          <w:sz w:val="32"/>
          <w:szCs w:val="32"/>
        </w:rPr>
        <w:lastRenderedPageBreak/>
        <w:t>制度、内部审计制度、安全管理制度等，并将权力制衡机制嵌入各项内部管理制度。</w:t>
      </w:r>
    </w:p>
    <w:p w14:paraId="2BFA9F6F"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第二十五条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医院应当加强关键岗位人员的管理和业务培训，明确岗位职责和业务流程，关键岗位人员应当具备与其工作岗位相适应的资格和能力，建立定期轮岗机制。</w:t>
      </w:r>
    </w:p>
    <w:p w14:paraId="48C3252A"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sz w:val="32"/>
          <w:szCs w:val="32"/>
        </w:rPr>
        <w:t>医院内部控制关键岗位主要包括：运营管理、预算管理、收支管理、采购管理、</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保结算管理、资产管理、基建项目管理、合同管理、绩效奖金核算管理、人力资源与薪酬管理、</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教研防业务管理以及内部监督管理等。</w:t>
      </w:r>
    </w:p>
    <w:p w14:paraId="01758CCF"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第二十六条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医院应当根据《中华人民共和国会计法》等法律法规要求建立健全会计机构，</w:t>
      </w:r>
      <w:r>
        <w:rPr>
          <w:rFonts w:ascii="仿宋" w:eastAsia="仿宋" w:hAnsi="仿宋" w:cs="Times New Roman" w:hint="eastAsia"/>
          <w:color w:val="323232"/>
          <w:sz w:val="32"/>
          <w:szCs w:val="32"/>
        </w:rPr>
        <w:t>明确会计机构的职责和权限，依法合理设置会计工作岗位，配备具备资格条件的会计工作人员，加强会计人员专业技能培训</w:t>
      </w:r>
      <w:r>
        <w:rPr>
          <w:rFonts w:ascii="仿宋" w:eastAsia="仿宋" w:hAnsi="仿宋" w:cs="Times New Roman" w:hint="eastAsia"/>
          <w:sz w:val="32"/>
          <w:szCs w:val="32"/>
        </w:rPr>
        <w:t>。</w:t>
      </w:r>
    </w:p>
    <w:p w14:paraId="15A79ECB"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color w:val="323232"/>
          <w:sz w:val="32"/>
          <w:szCs w:val="32"/>
        </w:rPr>
        <w:t>医院应当建立</w:t>
      </w:r>
      <w:r>
        <w:rPr>
          <w:rFonts w:ascii="仿宋" w:eastAsia="仿宋" w:hAnsi="仿宋" w:cs="Times New Roman" w:hint="eastAsia"/>
          <w:sz w:val="32"/>
          <w:szCs w:val="32"/>
        </w:rPr>
        <w:t>健全内部财务</w:t>
      </w:r>
      <w:r>
        <w:rPr>
          <w:rFonts w:ascii="仿宋" w:eastAsia="仿宋" w:hAnsi="仿宋" w:cs="Times New Roman" w:hint="eastAsia"/>
          <w:color w:val="323232"/>
          <w:sz w:val="32"/>
          <w:szCs w:val="32"/>
        </w:rPr>
        <w:t>管理制度，</w:t>
      </w:r>
      <w:r>
        <w:rPr>
          <w:rFonts w:ascii="仿宋" w:eastAsia="仿宋" w:hAnsi="仿宋" w:cs="Times New Roman" w:hint="eastAsia"/>
          <w:sz w:val="32"/>
          <w:szCs w:val="32"/>
        </w:rPr>
        <w:t>严格执行国家统一的会计制度，</w:t>
      </w:r>
      <w:r>
        <w:rPr>
          <w:rFonts w:ascii="仿宋" w:eastAsia="仿宋" w:hAnsi="仿宋" w:cs="Times New Roman" w:hint="eastAsia"/>
          <w:color w:val="323232"/>
          <w:sz w:val="32"/>
          <w:szCs w:val="32"/>
        </w:rPr>
        <w:t>对医院发生的各项经济业务事项进行</w:t>
      </w:r>
      <w:r>
        <w:rPr>
          <w:rFonts w:ascii="仿宋" w:eastAsia="仿宋" w:hAnsi="仿宋" w:cs="Times New Roman" w:hint="eastAsia"/>
          <w:sz w:val="32"/>
          <w:szCs w:val="32"/>
        </w:rPr>
        <w:t>确认、计量、</w:t>
      </w:r>
      <w:r>
        <w:rPr>
          <w:rFonts w:ascii="仿宋" w:eastAsia="仿宋" w:hAnsi="仿宋" w:cs="Times New Roman" w:hint="eastAsia"/>
          <w:color w:val="323232"/>
          <w:sz w:val="32"/>
          <w:szCs w:val="32"/>
        </w:rPr>
        <w:t>记录</w:t>
      </w:r>
      <w:r>
        <w:rPr>
          <w:rFonts w:ascii="仿宋" w:eastAsia="仿宋" w:hAnsi="仿宋" w:cs="Times New Roman" w:hint="eastAsia"/>
          <w:sz w:val="32"/>
          <w:szCs w:val="32"/>
        </w:rPr>
        <w:t>和报告</w:t>
      </w:r>
      <w:r>
        <w:rPr>
          <w:rFonts w:ascii="仿宋" w:eastAsia="仿宋" w:hAnsi="仿宋" w:cs="Times New Roman" w:hint="eastAsia"/>
          <w:color w:val="323232"/>
          <w:sz w:val="32"/>
          <w:szCs w:val="32"/>
        </w:rPr>
        <w:t>，</w:t>
      </w:r>
      <w:r>
        <w:rPr>
          <w:rFonts w:ascii="仿宋" w:eastAsia="仿宋" w:hAnsi="仿宋" w:cs="Times New Roman" w:hint="eastAsia"/>
          <w:sz w:val="32"/>
          <w:szCs w:val="32"/>
        </w:rPr>
        <w:t>确保财务会计信息真实完整</w:t>
      </w:r>
      <w:r>
        <w:rPr>
          <w:rFonts w:ascii="仿宋" w:eastAsia="仿宋" w:hAnsi="仿宋" w:cs="Times New Roman" w:hint="eastAsia"/>
          <w:color w:val="323232"/>
          <w:sz w:val="32"/>
          <w:szCs w:val="32"/>
        </w:rPr>
        <w:t>，充分发挥会计系统的控制职能。</w:t>
      </w:r>
    </w:p>
    <w:p w14:paraId="5A83910F"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第二十七条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充分利用信息技术加强内部控制建设，将内部控制流程和关键点嵌入医院信息系统；加强信息平台化、集成化建设，实现主要信息系统互联互通、信息共享，包含但不限于预算、收支、库存、采购、资产、建设项目、合同、科研管理等模块；应当对内部控制信息化建设</w:t>
      </w:r>
      <w:r>
        <w:rPr>
          <w:rFonts w:ascii="仿宋" w:eastAsia="仿宋" w:hAnsi="仿宋" w:cs="Times New Roman" w:hint="eastAsia"/>
          <w:sz w:val="32"/>
          <w:szCs w:val="32"/>
        </w:rPr>
        <w:lastRenderedPageBreak/>
        <w:t>情况进行评价，推动信息化建设，减少或消除人为因素，</w:t>
      </w:r>
      <w:r>
        <w:rPr>
          <w:rFonts w:ascii="仿宋" w:eastAsia="仿宋" w:hAnsi="仿宋" w:cs="Times New Roman" w:hint="eastAsia"/>
          <w:color w:val="323232"/>
          <w:sz w:val="32"/>
          <w:szCs w:val="32"/>
        </w:rPr>
        <w:t>增强经济</w:t>
      </w:r>
      <w:r>
        <w:rPr>
          <w:rFonts w:ascii="仿宋" w:eastAsia="仿宋" w:hAnsi="仿宋" w:cs="Times New Roman" w:hint="eastAsia"/>
          <w:sz w:val="32"/>
          <w:szCs w:val="32"/>
        </w:rPr>
        <w:t>业务事项</w:t>
      </w:r>
      <w:r>
        <w:rPr>
          <w:rFonts w:ascii="仿宋" w:eastAsia="仿宋" w:hAnsi="仿宋" w:cs="Times New Roman" w:hint="eastAsia"/>
          <w:color w:val="323232"/>
          <w:sz w:val="32"/>
          <w:szCs w:val="32"/>
        </w:rPr>
        <w:t>处理过程与结果的</w:t>
      </w:r>
      <w:r>
        <w:rPr>
          <w:rFonts w:ascii="仿宋" w:eastAsia="仿宋" w:hAnsi="仿宋" w:cs="Times New Roman" w:hint="eastAsia"/>
          <w:sz w:val="32"/>
          <w:szCs w:val="32"/>
        </w:rPr>
        <w:t>公开和</w:t>
      </w:r>
      <w:r>
        <w:rPr>
          <w:rFonts w:ascii="仿宋" w:eastAsia="仿宋" w:hAnsi="仿宋" w:cs="Times New Roman" w:hint="eastAsia"/>
          <w:color w:val="323232"/>
          <w:sz w:val="32"/>
          <w:szCs w:val="32"/>
        </w:rPr>
        <w:t>透明</w:t>
      </w:r>
      <w:r>
        <w:rPr>
          <w:rFonts w:ascii="仿宋" w:eastAsia="仿宋" w:hAnsi="仿宋" w:cs="Times New Roman" w:hint="eastAsia"/>
          <w:sz w:val="32"/>
          <w:szCs w:val="32"/>
        </w:rPr>
        <w:t>。</w:t>
      </w:r>
    </w:p>
    <w:p w14:paraId="0460E47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 </w:t>
      </w:r>
    </w:p>
    <w:p w14:paraId="1428D277"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第五章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业务层面的内部控制建设</w:t>
      </w:r>
    </w:p>
    <w:p w14:paraId="7D1EEC07" w14:textId="77777777" w:rsidR="00AE515F" w:rsidRDefault="00AE515F" w:rsidP="00AE515F">
      <w:pPr>
        <w:pStyle w:val="a3"/>
        <w:spacing w:line="560" w:lineRule="atLeast"/>
        <w:ind w:firstLine="627"/>
        <w:jc w:val="both"/>
        <w:rPr>
          <w:sz w:val="22"/>
          <w:szCs w:val="22"/>
        </w:rPr>
      </w:pPr>
      <w:r>
        <w:rPr>
          <w:rFonts w:ascii="黑体" w:eastAsia="黑体" w:hAnsi="黑体" w:hint="eastAsia"/>
          <w:color w:val="000000"/>
          <w:sz w:val="32"/>
          <w:szCs w:val="32"/>
        </w:rPr>
        <w:t>第二十八条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预算业务内部控制</w:t>
      </w:r>
    </w:p>
    <w:p w14:paraId="2651CFB7"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（一）建立健全预算管理制度，涵盖预算编制、审批、执行、调整、决算和绩效评价等内容。</w:t>
      </w:r>
    </w:p>
    <w:p w14:paraId="2B9A6D08"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（二）明确预算管理委员会、预算牵头部门、预算归口管理部门和预算执行部门的职责，分级设立预算业务审批权限，履行审批程序，重大事项需要集体决策。</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xml:space="preserve"> </w:t>
      </w:r>
    </w:p>
    <w:p w14:paraId="5E55A5AB"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三）合理设置预算业务关键岗位，配备关键岗位人员，明确岗位的职责权限，确保经济业务活动的预算编制与预算审批，预算审批与预算执行，预算执行与预算考核，决算编制与审核，决算审核与审批，财务报告的编制、审核与审批等不相容岗位相互分离。</w:t>
      </w:r>
    </w:p>
    <w:p w14:paraId="16C18231"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（四）建立预算编制、审批、执行、调整、决算的分析考核工作流程及业务规范；加强预算论证、编制、审批、下达、执行等关键环节的管控。</w:t>
      </w:r>
    </w:p>
    <w:p w14:paraId="18AC48F3"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（五）强化对医疗、教学、科研、预防、基本建设等活动的预算约束，使预算管理贯穿医院业务活动全过程。强化预算绩效管理，建立“预算编制有目标、预算执行有监控、预</w:t>
      </w:r>
      <w:r>
        <w:rPr>
          <w:rFonts w:ascii="仿宋" w:eastAsia="仿宋" w:hAnsi="仿宋" w:hint="eastAsia"/>
          <w:sz w:val="32"/>
          <w:szCs w:val="32"/>
        </w:rPr>
        <w:lastRenderedPageBreak/>
        <w:t>算完成有评价、评价结果有反馈、反馈结果有应用”的全过程预算绩效管理机制。</w:t>
      </w:r>
    </w:p>
    <w:p w14:paraId="24776021" w14:textId="77777777" w:rsidR="00AE515F" w:rsidRDefault="00AE515F" w:rsidP="00AE515F">
      <w:pPr>
        <w:pStyle w:val="a3"/>
        <w:spacing w:line="560" w:lineRule="atLeast"/>
        <w:ind w:firstLine="627"/>
        <w:jc w:val="both"/>
        <w:rPr>
          <w:rFonts w:ascii="Calibri" w:hAnsi="Calibri"/>
          <w:sz w:val="21"/>
          <w:szCs w:val="21"/>
        </w:rPr>
      </w:pPr>
      <w:r>
        <w:rPr>
          <w:rFonts w:ascii="黑体" w:eastAsia="黑体" w:hAnsi="黑体" w:hint="eastAsia"/>
          <w:color w:val="000000"/>
          <w:sz w:val="32"/>
          <w:szCs w:val="32"/>
        </w:rPr>
        <w:t>第二十九条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收支业务内部控制</w:t>
      </w:r>
    </w:p>
    <w:p w14:paraId="12AFA144"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一）建立健全收入、支出业务管理制度。收入管理制度应当涵盖价格确定、价格执行、票据管理、款项收缴、收入核算等内容；支出管理制度应当涵盖预算与计划、支出范围与标准确定、审批权限与审批流程、支出核算等内容。</w:t>
      </w:r>
    </w:p>
    <w:p w14:paraId="76CA67EB"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二）医院收入、支出业务活动应当实行归口管理。明确各类收入的归口管理部门及职责，各项收入必须纳入医院统一核算，统一管理，严禁设立账外账；支出业务应当实行分类管理，明确各类业务事项的归口管理部门及职责；设立收入、支出业务的分类审批权限，履行审批程序，重大经济活动及大额资金支付须经集体决策。</w:t>
      </w:r>
    </w:p>
    <w:p w14:paraId="4E01A7BE"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三）合理设置收入、支出业务关键岗位，配备关键岗位人员，明确其职责权限，确保医疗服务价格的确认和执行、收入款项的收取与会计核算、支出事项申请与审批、支出事项审批与付款、付款审批与付款执行、业务经办与会计核算等不相容岗位相互分离。</w:t>
      </w:r>
    </w:p>
    <w:p w14:paraId="308D0A27"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（四）规范收入管理、票据管理、支出管理、公务卡管理等业务工作流程，加强医疗服务价格管理、医疗收费、退费、结算、票据、支出业务审核、款项支付等重点环节的控制。</w:t>
      </w:r>
    </w:p>
    <w:p w14:paraId="2DCB43C0"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lastRenderedPageBreak/>
        <w:t>（五）医院应当依法组织各类收入。严格执行诊疗规范、价格政策和</w:t>
      </w:r>
      <w:proofErr w:type="gramStart"/>
      <w:r>
        <w:rPr>
          <w:rFonts w:ascii="仿宋" w:eastAsia="仿宋" w:hAnsi="仿宋" w:hint="eastAsia"/>
          <w:sz w:val="32"/>
          <w:szCs w:val="32"/>
        </w:rPr>
        <w:t>医保</w:t>
      </w:r>
      <w:proofErr w:type="gramEnd"/>
      <w:r>
        <w:rPr>
          <w:rFonts w:ascii="仿宋" w:eastAsia="仿宋" w:hAnsi="仿宋" w:hint="eastAsia"/>
          <w:sz w:val="32"/>
          <w:szCs w:val="32"/>
        </w:rPr>
        <w:t>政策，定期核查医疗行为规范及物价收费的相符性；定期核查收入合同的履行情况；加强票据管理，建立</w:t>
      </w:r>
      <w:proofErr w:type="gramStart"/>
      <w:r>
        <w:rPr>
          <w:rFonts w:ascii="仿宋" w:eastAsia="仿宋" w:hAnsi="仿宋" w:hint="eastAsia"/>
          <w:sz w:val="32"/>
          <w:szCs w:val="32"/>
        </w:rPr>
        <w:t>票据台</w:t>
      </w:r>
      <w:proofErr w:type="gramEnd"/>
      <w:r>
        <w:rPr>
          <w:rFonts w:ascii="仿宋" w:eastAsia="仿宋" w:hAnsi="仿宋" w:hint="eastAsia"/>
          <w:sz w:val="32"/>
          <w:szCs w:val="32"/>
        </w:rPr>
        <w:t>账，专人管理。</w:t>
      </w:r>
    </w:p>
    <w:p w14:paraId="69F2DE76"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（六）医院应当严格支出管理。明确经济活动各项支出标准和范围，规范报销流程，加强支出审核和支付控制；实行国库集中支付的，应当按照财政管理制度有关规定执行。</w:t>
      </w:r>
    </w:p>
    <w:p w14:paraId="254D3A2C"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（七）医院应当建立债务管理制度。实行事前论证和集体决策，定期与债权人核对债务余额；医院应当严格控制债务规模，防范风险。</w:t>
      </w:r>
    </w:p>
    <w:p w14:paraId="1EBD73A4"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（八）医院应当加强成本管理，推进成本核算，开展成本分析，真实反映医院成本状况；加强成本管控，优化资源配置，夯实绩效管理基础，提升单位内部管理水平。</w:t>
      </w:r>
      <w:r>
        <w:rPr>
          <w:rFonts w:ascii="Times New Roman" w:hAnsi="Times New Roman" w:cs="Times New Roman"/>
          <w:sz w:val="28"/>
          <w:szCs w:val="28"/>
        </w:rPr>
        <w:t xml:space="preserve"> </w:t>
      </w:r>
    </w:p>
    <w:p w14:paraId="650A2342" w14:textId="77777777" w:rsidR="00AE515F" w:rsidRDefault="00AE515F" w:rsidP="00AE515F">
      <w:pPr>
        <w:pStyle w:val="a3"/>
        <w:spacing w:line="560" w:lineRule="atLeast"/>
        <w:ind w:firstLine="627"/>
        <w:jc w:val="both"/>
        <w:rPr>
          <w:sz w:val="22"/>
          <w:szCs w:val="22"/>
        </w:rPr>
      </w:pPr>
      <w:r>
        <w:rPr>
          <w:rFonts w:ascii="黑体" w:eastAsia="黑体" w:hAnsi="黑体" w:hint="eastAsia"/>
          <w:color w:val="000000"/>
          <w:sz w:val="32"/>
          <w:szCs w:val="32"/>
        </w:rPr>
        <w:t>第三十条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采购业务内部控制</w:t>
      </w:r>
    </w:p>
    <w:p w14:paraId="50F77C28" w14:textId="77777777" w:rsidR="00AE515F" w:rsidRDefault="00AE515F" w:rsidP="00AE515F">
      <w:pPr>
        <w:pStyle w:val="a3"/>
        <w:spacing w:line="560" w:lineRule="atLeast"/>
        <w:ind w:firstLine="480"/>
        <w:jc w:val="both"/>
        <w:rPr>
          <w:rFonts w:ascii="Times New Roman" w:hAnsi="Times New Roman" w:cs="Times New Roman"/>
          <w:sz w:val="32"/>
          <w:szCs w:val="32"/>
        </w:rPr>
      </w:pPr>
      <w:r>
        <w:rPr>
          <w:rFonts w:ascii="仿宋" w:eastAsia="仿宋" w:hAnsi="仿宋" w:cs="Times New Roman" w:hint="eastAsia"/>
          <w:sz w:val="32"/>
          <w:szCs w:val="32"/>
        </w:rPr>
        <w:t>（一）建立健全采购管理制度，坚持质量优先、价格合理、阳光操作、严格监管的原则，涵盖采购预算与计划、需求申请与审批、过程管理、验收入库等方面内容。</w:t>
      </w:r>
    </w:p>
    <w:p w14:paraId="4162FAED"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（二）采购业务活动应当实行归口管理，明确归口管理部门和职责，明确各类采购业务的审批权限，履行审批程序，建立采购、资产、医务、</w:t>
      </w:r>
      <w:proofErr w:type="gramStart"/>
      <w:r>
        <w:rPr>
          <w:rFonts w:ascii="仿宋" w:eastAsia="仿宋" w:hAnsi="仿宋" w:hint="eastAsia"/>
          <w:sz w:val="32"/>
          <w:szCs w:val="32"/>
        </w:rPr>
        <w:t>医</w:t>
      </w:r>
      <w:proofErr w:type="gramEnd"/>
      <w:r>
        <w:rPr>
          <w:rFonts w:ascii="仿宋" w:eastAsia="仿宋" w:hAnsi="仿宋" w:hint="eastAsia"/>
          <w:sz w:val="32"/>
          <w:szCs w:val="32"/>
        </w:rPr>
        <w:t>保、财务、内部审计、纪检监察等部门的相互协调和监督制约机制。</w:t>
      </w:r>
    </w:p>
    <w:p w14:paraId="0D411B43"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lastRenderedPageBreak/>
        <w:t>（三）合理设置采购业务关键岗位，配备关键岗位人员，明确岗位职责权限，确保采购预算编制与审定、采购需求制定与内部审批、招标文件准备与复核、合同签订与验收、采购验收与保管、付款审批与付款执行、采购执行与监督检查等不相容岗位相互分离。</w:t>
      </w:r>
    </w:p>
    <w:p w14:paraId="15BF7F8E" w14:textId="77777777" w:rsidR="00AE515F" w:rsidRDefault="00AE515F" w:rsidP="00AE515F">
      <w:pPr>
        <w:pStyle w:val="a3"/>
        <w:spacing w:line="560" w:lineRule="atLeast"/>
        <w:ind w:firstLine="480"/>
        <w:jc w:val="both"/>
        <w:rPr>
          <w:rFonts w:ascii="Times New Roman" w:hAnsi="Times New Roman" w:cs="Times New Roman"/>
          <w:sz w:val="32"/>
          <w:szCs w:val="32"/>
        </w:rPr>
      </w:pPr>
      <w:r>
        <w:rPr>
          <w:rFonts w:ascii="仿宋" w:eastAsia="仿宋" w:hAnsi="仿宋" w:cs="Times New Roman" w:hint="eastAsia"/>
          <w:sz w:val="32"/>
          <w:szCs w:val="32"/>
        </w:rPr>
        <w:t>（四）医院应当优化采购业务申请、采购文件内部审核、采购组织形式确定、采购方式确定及变更、采购验收、采购资料记录管理、采购信息统计分析等业务工作流程及规范，并加强上述业务工作重点环节的控制。</w:t>
      </w:r>
    </w:p>
    <w:p w14:paraId="6E8D367C"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t>（五）医院应当严格遵守政府采购及药品、耗材和医疗设备等集中采购规定。政府采购项目应当按照规定选择采购方式，执行政府集中采购目录及标准，加强政府采购项目验收管理。</w:t>
      </w:r>
    </w:p>
    <w:p w14:paraId="3A703353" w14:textId="77777777" w:rsidR="00AE515F" w:rsidRDefault="00AE515F" w:rsidP="00AE515F">
      <w:pPr>
        <w:pStyle w:val="a3"/>
        <w:spacing w:line="560" w:lineRule="atLeast"/>
        <w:ind w:firstLine="627"/>
        <w:jc w:val="both"/>
        <w:rPr>
          <w:sz w:val="22"/>
          <w:szCs w:val="22"/>
        </w:rPr>
      </w:pPr>
      <w:r>
        <w:rPr>
          <w:rFonts w:ascii="黑体" w:eastAsia="黑体" w:hAnsi="黑体" w:hint="eastAsia"/>
          <w:color w:val="000000"/>
          <w:sz w:val="32"/>
          <w:szCs w:val="32"/>
        </w:rPr>
        <w:t>第三十一条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资产业务内部控制</w:t>
      </w:r>
    </w:p>
    <w:p w14:paraId="7D6DCFC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（一）建立健全资产管理制度，涵盖资产购置、保管、使用、核算和处置等内容。资产业务的种类包括货币资金、存货、固定资产、无形资产、对外投资、在建工程等。完善所属企业的监管制度。</w:t>
      </w:r>
    </w:p>
    <w:p w14:paraId="78C9740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（二）医院资产应当实行归口管理，明确归口管理部门和职责，明确资产配置、使用和处置国有资产的审批权限，履行审批程序。</w:t>
      </w:r>
    </w:p>
    <w:p w14:paraId="63748C3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lastRenderedPageBreak/>
        <w:t>（三）合理设置各类资产管理业务关键岗位，明确岗位职责及权限，确保增减资产执行与审批、资产保管与登记、资产实物管理与会计记录、资产保管与清查等不相容岗位相互分离。</w:t>
      </w:r>
    </w:p>
    <w:p w14:paraId="09337D2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（四）建立流动资产、非流动资产和对外投资等各类资产工作流程及业务规范，加强各类资产核查盘点、债权和对外投资项目跟踪管理等重点环节控制。</w:t>
      </w:r>
    </w:p>
    <w:p w14:paraId="17545DD1"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（五）医院应当加强流动资产管理。加强银行账户管理、货币资金核查；定期分析、及时清理应收及预付款项；合理确定存货的库存，加快资金周转，定期盘点。</w:t>
      </w:r>
    </w:p>
    <w:p w14:paraId="1A9FD3F3"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六）医院应当加强房屋、设备、无形资产等非流动资产管理。严禁举债建设；按规定配置大型医用设备并开展使用评价，推进资产共享共用，提高资产使用效率；依法依规出租出借处置资产；建立健全“三账一卡”制度，做到账</w:t>
      </w:r>
      <w:proofErr w:type="gramStart"/>
      <w:r>
        <w:rPr>
          <w:rFonts w:ascii="仿宋" w:eastAsia="仿宋" w:hAnsi="仿宋" w:hint="eastAsia"/>
          <w:sz w:val="32"/>
          <w:szCs w:val="32"/>
        </w:rPr>
        <w:t>账</w:t>
      </w:r>
      <w:proofErr w:type="gramEnd"/>
      <w:r>
        <w:rPr>
          <w:rFonts w:ascii="仿宋" w:eastAsia="仿宋" w:hAnsi="仿宋" w:hint="eastAsia"/>
          <w:sz w:val="32"/>
          <w:szCs w:val="32"/>
        </w:rPr>
        <w:t>相符、账卡相符、账实相符，定期盘点清查。</w:t>
      </w:r>
    </w:p>
    <w:p w14:paraId="0092CD86"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（七）医院应当加强对外投资管理。对外投资应当进行可行性论证，按照规定报送相关主管及财政部门审核审批；加强项目和投资管理，开展投资效益分析并建立责任追究制度。</w:t>
      </w:r>
    </w:p>
    <w:p w14:paraId="1AE342A8"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（八）医院所办企业应当根据《企业内部控制基本规范》《企业内部控制应用指引》《企业内部控制评价指引》等企业内部控制规范性文件的要求全面开展内部控制规范建设。</w:t>
      </w:r>
    </w:p>
    <w:p w14:paraId="1B80EA9F"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lastRenderedPageBreak/>
        <w:t>第三十二条</w:t>
      </w:r>
      <w:r>
        <w:rPr>
          <w:rFonts w:ascii="Times New Roman" w:hAnsi="Times New Roman" w:cs="Times New Roman"/>
          <w:b/>
          <w:bCs/>
          <w:color w:val="000000"/>
          <w:sz w:val="32"/>
          <w:szCs w:val="32"/>
        </w:rPr>
        <w:t xml:space="preserve"> </w:t>
      </w:r>
      <w:r>
        <w:rPr>
          <w:rFonts w:ascii="黑体" w:eastAsia="黑体" w:hAnsi="黑体" w:hint="eastAsia"/>
          <w:color w:val="000000"/>
          <w:sz w:val="32"/>
          <w:szCs w:val="32"/>
        </w:rPr>
        <w:t>基本建设业务内部控制</w:t>
      </w:r>
    </w:p>
    <w:p w14:paraId="3BB58E9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（一）医院应当建立健全基本建设项目管理制度，建立项目议事决策机制、项目工作机制、项目审核机制和项目考核监督机制。</w:t>
      </w:r>
    </w:p>
    <w:p w14:paraId="3F2C419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（二）明确建设项目决策机构、归口管理部门、财务部门、审计部门、资产部门等内部相关部门在建设项目管理中的职责权限。</w:t>
      </w:r>
    </w:p>
    <w:p w14:paraId="1FDCE9E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（三）合理设置建设项目管理岗位，明确岗位职责权限，确保项目建议和可行性研究与项目决策、概预算编制与审核、项目实施与价款支付、竣工决算与竣工审计等不相容岗位相互分离。</w:t>
      </w:r>
    </w:p>
    <w:p w14:paraId="7906885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（四）优化建设工程的立项、设计、概预算、招标、建设和竣工决算的工作流程、业务规范，建立沟通配合机制；强化建设工程全过程管理、资金支付控制、竣工决算办理。</w:t>
      </w:r>
    </w:p>
    <w:p w14:paraId="0AA9D671"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第三十三条</w:t>
      </w:r>
      <w:r>
        <w:rPr>
          <w:rFonts w:ascii="Times New Roman" w:hAnsi="Times New Roman" w:cs="Times New Roman"/>
          <w:b/>
          <w:bCs/>
          <w:color w:val="000000"/>
          <w:sz w:val="40"/>
          <w:szCs w:val="40"/>
        </w:rPr>
        <w:t xml:space="preserve"> </w:t>
      </w:r>
      <w:r>
        <w:rPr>
          <w:rFonts w:ascii="黑体" w:eastAsia="黑体" w:hAnsi="黑体" w:hint="eastAsia"/>
          <w:sz w:val="32"/>
          <w:szCs w:val="32"/>
        </w:rPr>
        <w:t>合同业务内部控制</w:t>
      </w:r>
    </w:p>
    <w:p w14:paraId="3094565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（一）医院应当建立健全合同管理制度，建立合同业务决策机制、工作机制、审核机制、监督机制、纠纷协调机制。</w:t>
      </w:r>
    </w:p>
    <w:p w14:paraId="45C0FE4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（二）明确合同归口管理部门及其职责权限，明确合同承办业务部门、财务部门、审计部门、法律部门、采购部门、院长办公室等内部相关部门在合同管理中的职责权限。</w:t>
      </w:r>
    </w:p>
    <w:p w14:paraId="17E8C0B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（三）合理设置合同管理岗位，明确岗位职责权限以及合同授权审批和签署权限，确保合同签订与合同审批、合同</w:t>
      </w:r>
      <w:r>
        <w:rPr>
          <w:rFonts w:ascii="仿宋" w:eastAsia="仿宋" w:hAnsi="仿宋" w:cs="Times New Roman" w:hint="eastAsia"/>
          <w:sz w:val="32"/>
          <w:szCs w:val="32"/>
        </w:rPr>
        <w:lastRenderedPageBreak/>
        <w:t>签订与付款审批、合同执行与付款审批、合同签订与合同用章保管等不相容岗位相互分离。</w:t>
      </w:r>
    </w:p>
    <w:p w14:paraId="5736FAA9"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（四）优化合同前期准备、合同订立、合同执行、合同后续管理的工作流程、业务规范，建立沟通配合机制，实现合同管理与预算管理、收支管理、采购管理相结合。</w:t>
      </w:r>
    </w:p>
    <w:p w14:paraId="733B03BA"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第三十四条</w:t>
      </w:r>
      <w:r>
        <w:rPr>
          <w:rFonts w:ascii="Times New Roman" w:hAnsi="Times New Roman" w:cs="Times New Roman"/>
          <w:color w:val="000000"/>
          <w:sz w:val="32"/>
          <w:szCs w:val="32"/>
        </w:rPr>
        <w:t xml:space="preserve"> </w:t>
      </w:r>
      <w:r>
        <w:rPr>
          <w:rFonts w:ascii="黑体" w:eastAsia="黑体" w:hAnsi="黑体" w:hint="eastAsia"/>
          <w:sz w:val="32"/>
          <w:szCs w:val="32"/>
        </w:rPr>
        <w:t>医疗业务内部控制</w:t>
      </w:r>
    </w:p>
    <w:p w14:paraId="3A0AEAB6" w14:textId="77777777" w:rsidR="00AE515F" w:rsidRDefault="00AE515F" w:rsidP="00AE515F">
      <w:pPr>
        <w:pStyle w:val="a3"/>
        <w:spacing w:line="560" w:lineRule="atLeast"/>
        <w:ind w:firstLine="640"/>
        <w:jc w:val="both"/>
        <w:rPr>
          <w:sz w:val="22"/>
          <w:szCs w:val="22"/>
        </w:rPr>
      </w:pPr>
      <w:r>
        <w:rPr>
          <w:rFonts w:ascii="仿宋" w:eastAsia="仿宋" w:hAnsi="仿宋" w:hint="eastAsia"/>
          <w:color w:val="000000"/>
          <w:sz w:val="32"/>
          <w:szCs w:val="32"/>
        </w:rPr>
        <w:t>（一）医院应当建立健全诊疗规范和诊疗活动管理制度，严格按照政府主管部门批准范围开展诊疗活动，诊疗项目的收费应当符合物价部门、</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保部门政策；明确诊疗项目和收费的审查机制、审批机制、监督检查机制。</w:t>
      </w:r>
    </w:p>
    <w:p w14:paraId="4FDB1092" w14:textId="77777777" w:rsidR="00AE515F" w:rsidRDefault="00AE515F" w:rsidP="00AE515F">
      <w:pPr>
        <w:pStyle w:val="a3"/>
        <w:spacing w:line="560" w:lineRule="atLeast"/>
        <w:ind w:firstLine="640"/>
        <w:jc w:val="both"/>
        <w:rPr>
          <w:sz w:val="22"/>
          <w:szCs w:val="22"/>
        </w:rPr>
      </w:pPr>
      <w:r>
        <w:rPr>
          <w:rFonts w:ascii="仿宋" w:eastAsia="仿宋" w:hAnsi="仿宋" w:hint="eastAsia"/>
          <w:color w:val="000000"/>
          <w:sz w:val="32"/>
          <w:szCs w:val="32"/>
        </w:rPr>
        <w:t>（二）医疗业务活动应当实行归口管理，明确内部医务管理部门、</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保部门、物价部门在医疗活动和诊疗项目价格政策执行方面的职责。</w:t>
      </w:r>
    </w:p>
    <w:p w14:paraId="2217A3AE"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（三）医院应当</w:t>
      </w:r>
      <w:r>
        <w:rPr>
          <w:rFonts w:ascii="仿宋" w:eastAsia="仿宋" w:hAnsi="仿宋" w:cs="Times New Roman" w:hint="eastAsia"/>
          <w:sz w:val="32"/>
          <w:szCs w:val="32"/>
        </w:rPr>
        <w:t>合理</w:t>
      </w:r>
      <w:r>
        <w:rPr>
          <w:rFonts w:ascii="仿宋" w:eastAsia="仿宋" w:hAnsi="仿宋" w:cs="Times New Roman" w:hint="eastAsia"/>
          <w:color w:val="000000"/>
          <w:sz w:val="32"/>
          <w:szCs w:val="32"/>
        </w:rPr>
        <w:t>设置</w:t>
      </w:r>
      <w:r>
        <w:rPr>
          <w:rFonts w:ascii="仿宋" w:eastAsia="仿宋" w:hAnsi="仿宋" w:cs="Times New Roman" w:hint="eastAsia"/>
          <w:sz w:val="32"/>
          <w:szCs w:val="32"/>
        </w:rPr>
        <w:t>诊疗项目管理岗位，明确岗位职责权限；明确诊疗项目的内部申请、审核和审批权限，确保诊疗项目的申请与审核、审核与审批、审批与执行等不相容岗位相互分离。</w:t>
      </w:r>
    </w:p>
    <w:p w14:paraId="7FEF209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w:t>
      </w:r>
      <w:r>
        <w:rPr>
          <w:rFonts w:ascii="仿宋" w:eastAsia="仿宋" w:hAnsi="仿宋" w:cs="Times New Roman" w:hint="eastAsia"/>
          <w:color w:val="000000"/>
          <w:sz w:val="32"/>
          <w:szCs w:val="32"/>
        </w:rPr>
        <w:t>医院应当加强对临床科室诊疗活动的监督检查，严格控制不合理检查、不合理用药的行为；诊疗活动的收费应当与物价项目内涵和</w:t>
      </w:r>
      <w:proofErr w:type="gramStart"/>
      <w:r>
        <w:rPr>
          <w:rFonts w:ascii="仿宋" w:eastAsia="仿宋" w:hAnsi="仿宋" w:cs="Times New Roman" w:hint="eastAsia"/>
          <w:color w:val="000000"/>
          <w:sz w:val="32"/>
          <w:szCs w:val="32"/>
        </w:rPr>
        <w:t>医保</w:t>
      </w:r>
      <w:proofErr w:type="gramEnd"/>
      <w:r>
        <w:rPr>
          <w:rFonts w:ascii="仿宋" w:eastAsia="仿宋" w:hAnsi="仿宋" w:cs="Times New Roman" w:hint="eastAsia"/>
          <w:color w:val="000000"/>
          <w:sz w:val="32"/>
          <w:szCs w:val="32"/>
        </w:rPr>
        <w:t>政策相符合；建立与</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保部门、物价部门沟通协调机制，定期分析诊疗服务过程中存在的执行</w:t>
      </w:r>
      <w:proofErr w:type="gramStart"/>
      <w:r>
        <w:rPr>
          <w:rFonts w:ascii="仿宋" w:eastAsia="仿宋" w:hAnsi="仿宋" w:cs="Times New Roman" w:hint="eastAsia"/>
          <w:color w:val="000000"/>
          <w:sz w:val="32"/>
          <w:szCs w:val="32"/>
        </w:rPr>
        <w:t>医</w:t>
      </w:r>
      <w:proofErr w:type="gramEnd"/>
      <w:r>
        <w:rPr>
          <w:rFonts w:ascii="仿宋" w:eastAsia="仿宋" w:hAnsi="仿宋" w:cs="Times New Roman" w:hint="eastAsia"/>
          <w:color w:val="000000"/>
          <w:sz w:val="32"/>
          <w:szCs w:val="32"/>
        </w:rPr>
        <w:t>保、物价政策风险，对存在的问题及时组织整改。</w:t>
      </w:r>
    </w:p>
    <w:p w14:paraId="13C29E59" w14:textId="77777777" w:rsidR="00AE515F" w:rsidRDefault="00AE515F" w:rsidP="00AE515F">
      <w:pPr>
        <w:pStyle w:val="a3"/>
        <w:spacing w:line="560" w:lineRule="atLeast"/>
        <w:ind w:firstLine="480"/>
        <w:jc w:val="both"/>
        <w:rPr>
          <w:sz w:val="22"/>
          <w:szCs w:val="22"/>
        </w:rPr>
      </w:pPr>
      <w:r>
        <w:rPr>
          <w:rFonts w:ascii="仿宋" w:eastAsia="仿宋" w:hAnsi="仿宋" w:hint="eastAsia"/>
          <w:sz w:val="32"/>
          <w:szCs w:val="32"/>
        </w:rPr>
        <w:lastRenderedPageBreak/>
        <w:t>（五）</w:t>
      </w:r>
      <w:r>
        <w:rPr>
          <w:rFonts w:ascii="仿宋" w:eastAsia="仿宋" w:hAnsi="仿宋" w:hint="eastAsia"/>
          <w:color w:val="000000"/>
          <w:sz w:val="32"/>
          <w:szCs w:val="32"/>
        </w:rPr>
        <w:t>医院应当设置</w:t>
      </w:r>
      <w:r>
        <w:rPr>
          <w:rFonts w:ascii="仿宋" w:eastAsia="仿宋" w:hAnsi="仿宋" w:hint="eastAsia"/>
          <w:sz w:val="32"/>
          <w:szCs w:val="32"/>
        </w:rPr>
        <w:t>行风管理岗位，定期检查临床科室和医务人员在药品、医用耗材、医疗设备引进过程中的行为规范以及各临床科室是否严格执行本部门的申请机制，建立与纪检监察部门的协调联动机制，严厉查处药品耗材设备购销领域的商业贿赂行为。</w:t>
      </w:r>
    </w:p>
    <w:p w14:paraId="2C416D1D" w14:textId="77777777" w:rsidR="00AE515F" w:rsidRDefault="00AE515F" w:rsidP="00AE515F">
      <w:pPr>
        <w:pStyle w:val="a3"/>
        <w:spacing w:line="560" w:lineRule="atLeast"/>
        <w:ind w:firstLine="480"/>
        <w:jc w:val="both"/>
        <w:rPr>
          <w:rFonts w:ascii="Times New Roman" w:hAnsi="Times New Roman" w:cs="Times New Roman"/>
          <w:sz w:val="32"/>
          <w:szCs w:val="32"/>
        </w:rPr>
      </w:pPr>
      <w:r>
        <w:rPr>
          <w:rFonts w:ascii="仿宋" w:eastAsia="仿宋" w:hAnsi="仿宋" w:cs="Times New Roman" w:hint="eastAsia"/>
          <w:sz w:val="32"/>
          <w:szCs w:val="32"/>
        </w:rPr>
        <w:t>（六）医院应当建立与医疗业务相关的委员会制度，明确委员会的组织构成和运行机制，加强对药品、医用耗材、医疗设备引进的专业评估和审查，各临床科室应当建立本部门药品、医用耗材、医疗设备引进的内部申请和决策机制。</w:t>
      </w:r>
    </w:p>
    <w:p w14:paraId="6503AE86"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第三十五条</w:t>
      </w:r>
      <w:r>
        <w:rPr>
          <w:rFonts w:ascii="Times New Roman" w:hAnsi="Times New Roman" w:cs="Times New Roman"/>
          <w:b/>
          <w:bCs/>
          <w:color w:val="000000"/>
          <w:sz w:val="32"/>
          <w:szCs w:val="32"/>
        </w:rPr>
        <w:t xml:space="preserve"> </w:t>
      </w:r>
      <w:r>
        <w:rPr>
          <w:rFonts w:ascii="黑体" w:eastAsia="黑体" w:hAnsi="黑体" w:hint="eastAsia"/>
          <w:sz w:val="32"/>
          <w:szCs w:val="32"/>
        </w:rPr>
        <w:t>科研业务内部控制</w:t>
      </w:r>
    </w:p>
    <w:p w14:paraId="594B455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（一）医院应当建立健全科研项目管理制度，建立项目决策机制、工作机制、审核机制和监督机制。</w:t>
      </w:r>
    </w:p>
    <w:p w14:paraId="37AFDB5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（二）明确科研项目归口管理部门及其职责权限，明确科研项目组织部门、财务部门、审计部门、采购部门、资产部门等内部相关部门在科研管理中的职责权限。</w:t>
      </w:r>
    </w:p>
    <w:p w14:paraId="707E966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（三）合理设置科研项目管理岗位，明确岗位职责权限，确保项目预算编制与审核、项目审批与实施、项目资金使用与付款审核、项目验收与评价等不相容岗位相互分离。</w:t>
      </w:r>
    </w:p>
    <w:p w14:paraId="435D130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（四）优化科研项目申请、立项、执行、结题验收、成果保护与转化的工作流程、业务规范，建立沟通配合机制，加强科研项目研究过程管理和资金支付、调整、结余管理，</w:t>
      </w:r>
      <w:r>
        <w:rPr>
          <w:rFonts w:ascii="仿宋" w:eastAsia="仿宋" w:hAnsi="仿宋" w:cs="Times New Roman" w:hint="eastAsia"/>
          <w:sz w:val="32"/>
          <w:szCs w:val="32"/>
        </w:rPr>
        <w:lastRenderedPageBreak/>
        <w:t>鼓励科研项目成果转化与应用；建立横向课题和临床试验项目立项审批和审查制度，加强经费使用管理。</w:t>
      </w:r>
    </w:p>
    <w:p w14:paraId="64AF1E0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第三十六条</w:t>
      </w:r>
      <w:r>
        <w:rPr>
          <w:rFonts w:ascii="Times New Roman" w:hAnsi="Times New Roman" w:cs="Times New Roman"/>
          <w:color w:val="000000"/>
          <w:sz w:val="32"/>
          <w:szCs w:val="32"/>
        </w:rPr>
        <w:t xml:space="preserve"> </w:t>
      </w:r>
      <w:r>
        <w:rPr>
          <w:rFonts w:ascii="仿宋" w:eastAsia="仿宋" w:hAnsi="仿宋" w:cs="Times New Roman" w:hint="eastAsia"/>
          <w:color w:val="000000"/>
          <w:sz w:val="32"/>
          <w:szCs w:val="32"/>
        </w:rPr>
        <w:t>教学业务内部控制</w:t>
      </w:r>
    </w:p>
    <w:p w14:paraId="2D20A8E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（一）医院应当建立健全教学业务管理制度，建立教学业务工作的决策机制、工作机制、审核机制和监督机制。</w:t>
      </w:r>
    </w:p>
    <w:p w14:paraId="58FC40A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（二）明确教学业务归口管理部门及其职责权限，明确教学业务管理部门、财务部门、审计部门、采购部门、资产部门等内部相关部门在教学管理中的职责权限。</w:t>
      </w:r>
    </w:p>
    <w:p w14:paraId="6049B40A"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（三）合理设置教学业务管理岗位，明确岗位职责权限，确保教学业务预算编制与审核、教学资金使用与付款审批等不相容岗位相互分离。</w:t>
      </w:r>
    </w:p>
    <w:p w14:paraId="068CCE4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（四）优化教学业务管理的工作流程、工作规范，建立部门间沟通配合机制；</w:t>
      </w:r>
      <w:r>
        <w:rPr>
          <w:rFonts w:ascii="仿宋" w:eastAsia="仿宋" w:hAnsi="仿宋" w:cs="Times New Roman" w:hint="eastAsia"/>
          <w:color w:val="000000"/>
          <w:sz w:val="32"/>
          <w:szCs w:val="32"/>
        </w:rPr>
        <w:t>按批复预算使用教学资金，专款专用，</w:t>
      </w:r>
      <w:r>
        <w:rPr>
          <w:rFonts w:ascii="仿宋" w:eastAsia="仿宋" w:hAnsi="仿宋" w:cs="Times New Roman" w:hint="eastAsia"/>
          <w:sz w:val="32"/>
          <w:szCs w:val="32"/>
        </w:rPr>
        <w:t>加强教学经费使用管理。</w:t>
      </w:r>
      <w:r>
        <w:rPr>
          <w:rFonts w:ascii="Times New Roman" w:hAnsi="Times New Roman" w:cs="Times New Roman"/>
          <w:sz w:val="32"/>
          <w:szCs w:val="32"/>
        </w:rPr>
        <w:t> </w:t>
      </w:r>
      <w:r>
        <w:rPr>
          <w:rFonts w:ascii="Times New Roman" w:hAnsi="Times New Roman" w:cs="Times New Roman"/>
          <w:sz w:val="32"/>
          <w:szCs w:val="32"/>
        </w:rPr>
        <w:t xml:space="preserve"> </w:t>
      </w:r>
    </w:p>
    <w:p w14:paraId="62D17FA8" w14:textId="77777777" w:rsidR="00AE515F" w:rsidRDefault="00AE515F" w:rsidP="00AE515F">
      <w:pPr>
        <w:pStyle w:val="a3"/>
        <w:spacing w:line="560" w:lineRule="atLeast"/>
        <w:ind w:firstLine="640"/>
        <w:jc w:val="both"/>
        <w:rPr>
          <w:sz w:val="22"/>
          <w:szCs w:val="22"/>
        </w:rPr>
      </w:pPr>
      <w:r>
        <w:rPr>
          <w:rFonts w:ascii="黑体" w:eastAsia="黑体" w:hAnsi="黑体" w:hint="eastAsia"/>
          <w:color w:val="000000"/>
          <w:sz w:val="32"/>
          <w:szCs w:val="32"/>
        </w:rPr>
        <w:t>第三十七条</w:t>
      </w:r>
      <w:r>
        <w:rPr>
          <w:rFonts w:ascii="Times New Roman" w:hAnsi="Times New Roman" w:cs="Times New Roman"/>
          <w:color w:val="000000"/>
          <w:sz w:val="32"/>
          <w:szCs w:val="32"/>
        </w:rPr>
        <w:t xml:space="preserve"> </w:t>
      </w:r>
      <w:r>
        <w:rPr>
          <w:rFonts w:ascii="黑体" w:eastAsia="黑体" w:hAnsi="黑体" w:hint="eastAsia"/>
          <w:sz w:val="32"/>
          <w:szCs w:val="32"/>
        </w:rPr>
        <w:t>互联网医疗业务内部控制</w:t>
      </w:r>
    </w:p>
    <w:p w14:paraId="1A1B4D64"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（一）</w:t>
      </w:r>
      <w:r>
        <w:rPr>
          <w:rFonts w:ascii="仿宋" w:eastAsia="仿宋" w:hAnsi="仿宋" w:cs="Times New Roman" w:hint="eastAsia"/>
          <w:sz w:val="32"/>
          <w:szCs w:val="32"/>
        </w:rPr>
        <w:t>开展互联网医疗业务的医院应当建立健全互联网诊疗服务与收费的相关管理制度，严格诊疗行为和费用监管。</w:t>
      </w:r>
    </w:p>
    <w:p w14:paraId="2474A463"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t>（二）</w:t>
      </w:r>
      <w:r>
        <w:rPr>
          <w:rFonts w:ascii="仿宋" w:eastAsia="仿宋" w:hAnsi="仿宋" w:cs="Times New Roman" w:hint="eastAsia"/>
          <w:sz w:val="32"/>
          <w:szCs w:val="32"/>
        </w:rPr>
        <w:t>医院应当明确互联网医疗业务的归口管理部门及其职责权限。明确临床科室、医务部门、信息部门、</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保部门、财务部门、审计部门等内部相关部门在互联网医疗业务管理工作中的职责权限。</w:t>
      </w:r>
    </w:p>
    <w:p w14:paraId="29D32024"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Times New Roman" w:hAnsi="Times New Roman" w:cs="Times New Roman"/>
          <w:sz w:val="32"/>
          <w:szCs w:val="32"/>
        </w:rPr>
        <w:lastRenderedPageBreak/>
        <w:t>（三）</w:t>
      </w:r>
      <w:r>
        <w:rPr>
          <w:rFonts w:ascii="仿宋" w:eastAsia="仿宋" w:hAnsi="仿宋" w:cs="Times New Roman" w:hint="eastAsia"/>
          <w:sz w:val="32"/>
          <w:szCs w:val="32"/>
        </w:rPr>
        <w:t>建立互联网医疗业务的工作流程、业务规范、沟通配合机制，对互联网医疗业务管理的关键环节实行重点管控。</w:t>
      </w:r>
    </w:p>
    <w:p w14:paraId="2384C51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第三十八条</w:t>
      </w:r>
      <w:r>
        <w:rPr>
          <w:rFonts w:ascii="Times New Roman" w:hAnsi="Times New Roman" w:cs="Times New Roman"/>
          <w:color w:val="000000"/>
          <w:sz w:val="32"/>
          <w:szCs w:val="32"/>
        </w:rPr>
        <w:t xml:space="preserve"> </w:t>
      </w:r>
      <w:proofErr w:type="gramStart"/>
      <w:r>
        <w:rPr>
          <w:rFonts w:ascii="黑体" w:eastAsia="黑体" w:hAnsi="黑体" w:cs="Times New Roman" w:hint="eastAsia"/>
          <w:color w:val="000000"/>
          <w:sz w:val="32"/>
          <w:szCs w:val="32"/>
        </w:rPr>
        <w:t>医</w:t>
      </w:r>
      <w:proofErr w:type="gramEnd"/>
      <w:r>
        <w:rPr>
          <w:rFonts w:ascii="黑体" w:eastAsia="黑体" w:hAnsi="黑体" w:cs="Times New Roman" w:hint="eastAsia"/>
          <w:color w:val="000000"/>
          <w:sz w:val="32"/>
          <w:szCs w:val="32"/>
        </w:rPr>
        <w:t>联体业务内部控制</w:t>
      </w:r>
    </w:p>
    <w:p w14:paraId="3788FBA9" w14:textId="77777777" w:rsidR="00AE515F" w:rsidRDefault="00AE515F" w:rsidP="00AE515F">
      <w:pPr>
        <w:pStyle w:val="a3"/>
        <w:spacing w:line="560" w:lineRule="atLeast"/>
        <w:ind w:firstLine="560"/>
        <w:jc w:val="both"/>
        <w:rPr>
          <w:rFonts w:ascii="Times New Roman" w:hAnsi="Times New Roman" w:cs="Times New Roman"/>
          <w:sz w:val="32"/>
          <w:szCs w:val="32"/>
        </w:rPr>
      </w:pPr>
      <w:r>
        <w:rPr>
          <w:rFonts w:ascii="仿宋" w:eastAsia="仿宋" w:hAnsi="仿宋" w:cs="Times New Roman" w:hint="eastAsia"/>
          <w:color w:val="000000"/>
          <w:sz w:val="28"/>
          <w:szCs w:val="28"/>
        </w:rPr>
        <w:t>（一）</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联体牵头医院负责建立</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联体议事决策机制、工作机制、审核机制、监督机制；建立健全</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联体相关工作管理制度，涵盖</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联体诊疗服务与收费，资源与信息共享，绩效与利益分配等内容。</w:t>
      </w:r>
    </w:p>
    <w:p w14:paraId="1D2B5E1C"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（二）各成员单位要明确</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联体相关业务的归口管理部门及其职责权限。建立风险评估机制，确保法律法规、规章制度及</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联体经营管理政策的贯彻执行，促进</w:t>
      </w:r>
      <w:proofErr w:type="gramStart"/>
      <w:r>
        <w:rPr>
          <w:rFonts w:ascii="仿宋" w:eastAsia="仿宋" w:hAnsi="仿宋" w:cs="Times New Roman" w:hint="eastAsia"/>
          <w:sz w:val="32"/>
          <w:szCs w:val="32"/>
        </w:rPr>
        <w:t>医</w:t>
      </w:r>
      <w:proofErr w:type="gramEnd"/>
      <w:r>
        <w:rPr>
          <w:rFonts w:ascii="仿宋" w:eastAsia="仿宋" w:hAnsi="仿宋" w:cs="Times New Roman" w:hint="eastAsia"/>
          <w:sz w:val="32"/>
          <w:szCs w:val="32"/>
        </w:rPr>
        <w:t>联体平稳运行和健康发展。</w:t>
      </w:r>
    </w:p>
    <w:p w14:paraId="23C6183D"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第三十九条 信息化建设业务内部控制</w:t>
      </w:r>
    </w:p>
    <w:p w14:paraId="019C9B41"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（一）医院应当建立健全信息化建设管理制度，涵盖信息化建设需求分析、系统开发、升级改造、运行维护、信息安全和数据管理等方面内容。</w:t>
      </w:r>
    </w:p>
    <w:p w14:paraId="6FFCBDD7"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（二）信息化建设应当实行归口管理。明确归口管理部门和信息系统建设项目牵头部门，建立相互合作与制约的工作机制。</w:t>
      </w:r>
    </w:p>
    <w:p w14:paraId="4E0BC7E8"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（三）合理设置信息系统建设管理岗位，明确其职责权限。信息系统建设管理不相容岗位包括但不限于：信息系统</w:t>
      </w:r>
      <w:r>
        <w:rPr>
          <w:rFonts w:ascii="仿宋" w:eastAsia="仿宋" w:hAnsi="仿宋" w:hint="eastAsia"/>
          <w:sz w:val="32"/>
          <w:szCs w:val="32"/>
        </w:rPr>
        <w:lastRenderedPageBreak/>
        <w:t>规划论证与审批、系统设计开发与系统验收、运行维护与系统监控等。</w:t>
      </w:r>
    </w:p>
    <w:p w14:paraId="3500FCC1"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（四）医院应当根据事业发展战略和业务活动需要，编制中长期信息化建设规划以及年度工作计划，从全局角度对经济活动及相关业务活动的信息系统建设进行整体规划，提高资金使用效率，防范风险。</w:t>
      </w:r>
    </w:p>
    <w:p w14:paraId="01ED3A0E"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五）医院应当建立信息数据质量管理制度。信息归口管理部门应当落实信息化建设相关标准规范，制定数据共享与交互的规则和标准；各信息系统应当按照统一标准建设，能够完整反映业务制度规定的活动控制流程。</w:t>
      </w:r>
    </w:p>
    <w:p w14:paraId="04D8D892"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六）医院应当将内部控制关键管控点嵌入信息系统，设立不相容岗位账户并体现其职责权限，明确操作权限；相关部门及人员应当严格执行岗位操作规范，遵守相关业务流程及数据标准；应当建立药品、可收费医用耗材的信息流、物流、单据流对应关系；设计校对程序，定期或不定期进行校对。</w:t>
      </w:r>
    </w:p>
    <w:p w14:paraId="0DF91656" w14:textId="77777777" w:rsidR="00AE515F" w:rsidRDefault="00AE515F" w:rsidP="00AE515F">
      <w:pPr>
        <w:pStyle w:val="a3"/>
        <w:spacing w:line="560" w:lineRule="atLeast"/>
        <w:ind w:firstLine="640"/>
        <w:jc w:val="both"/>
        <w:rPr>
          <w:sz w:val="22"/>
          <w:szCs w:val="22"/>
        </w:rPr>
      </w:pPr>
      <w:r>
        <w:rPr>
          <w:rFonts w:ascii="仿宋" w:eastAsia="仿宋" w:hAnsi="仿宋" w:hint="eastAsia"/>
          <w:sz w:val="32"/>
          <w:szCs w:val="32"/>
        </w:rPr>
        <w:t>（七）加强内部控制信息系统的安全管理，建立用户管理制度、系统数据定期备份制度、信息系统安全保密和泄密责任追究制度等措施，确保重要信息系统安全、可靠，增强信息安全保障能力。</w:t>
      </w:r>
    </w:p>
    <w:p w14:paraId="27DA9BAE" w14:textId="77777777" w:rsidR="00AE515F" w:rsidRDefault="00AE515F" w:rsidP="00AE515F">
      <w:pPr>
        <w:pStyle w:val="a3"/>
        <w:spacing w:line="560" w:lineRule="atLeast"/>
        <w:ind w:firstLine="640"/>
        <w:jc w:val="both"/>
        <w:rPr>
          <w:sz w:val="22"/>
          <w:szCs w:val="22"/>
        </w:rPr>
      </w:pPr>
      <w:r>
        <w:rPr>
          <w:rFonts w:ascii="Times New Roman" w:hAnsi="Times New Roman" w:cs="Times New Roman"/>
          <w:sz w:val="32"/>
          <w:szCs w:val="32"/>
        </w:rPr>
        <w:t> </w:t>
      </w:r>
    </w:p>
    <w:p w14:paraId="08932084"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t>第六章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内部控制报告</w:t>
      </w:r>
    </w:p>
    <w:p w14:paraId="0F532FE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lastRenderedPageBreak/>
        <w:t>第四十条</w:t>
      </w:r>
      <w:r>
        <w:rPr>
          <w:rFonts w:ascii="Times New Roman" w:hAnsi="Times New Roman" w:cs="Times New Roman"/>
          <w:b/>
          <w:bCs/>
          <w:color w:val="000000"/>
          <w:sz w:val="32"/>
          <w:szCs w:val="32"/>
        </w:rPr>
        <w:t xml:space="preserve"> </w:t>
      </w:r>
      <w:r>
        <w:rPr>
          <w:rFonts w:ascii="仿宋" w:eastAsia="仿宋" w:hAnsi="仿宋" w:cs="Times New Roman" w:hint="eastAsia"/>
          <w:sz w:val="32"/>
          <w:szCs w:val="32"/>
        </w:rPr>
        <w:t>本办法所称内部控制报告，是指医院结合本单位实际情况，按照相关部门规定编制的、能够综合反映本单位内部控制建立与实施情况的总结性文件。</w:t>
      </w:r>
    </w:p>
    <w:p w14:paraId="05624944"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第四十一条</w:t>
      </w:r>
      <w:r>
        <w:rPr>
          <w:rFonts w:ascii="Times New Roman" w:hAnsi="Times New Roman" w:cs="Times New Roman"/>
          <w:b/>
          <w:bCs/>
          <w:sz w:val="32"/>
          <w:szCs w:val="32"/>
        </w:rPr>
        <w:t xml:space="preserve"> </w:t>
      </w:r>
      <w:r>
        <w:rPr>
          <w:rFonts w:ascii="仿宋" w:eastAsia="仿宋" w:hAnsi="仿宋" w:cs="Times New Roman" w:hint="eastAsia"/>
          <w:sz w:val="32"/>
          <w:szCs w:val="32"/>
        </w:rPr>
        <w:t>医院是内部控制报告的责任主体。单位主要负责人对本单位内部控制报告的真实性和完整性负责。</w:t>
      </w:r>
    </w:p>
    <w:p w14:paraId="26A16D57"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第四十二条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医院内部控制报告编制应当遵循全面性原则、重要性原则、客观性原则和规范性原则。</w:t>
      </w:r>
    </w:p>
    <w:p w14:paraId="19EC6435"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第四十三条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医院向上级卫生健康行政部门或</w:t>
      </w:r>
      <w:r>
        <w:rPr>
          <w:rFonts w:ascii="仿宋" w:eastAsia="仿宋" w:hAnsi="仿宋" w:cs="Times New Roman" w:hint="eastAsia"/>
          <w:color w:val="000000"/>
          <w:sz w:val="32"/>
          <w:szCs w:val="32"/>
        </w:rPr>
        <w:t>中医药主管部门</w:t>
      </w:r>
      <w:r>
        <w:rPr>
          <w:rFonts w:ascii="仿宋" w:eastAsia="仿宋" w:hAnsi="仿宋" w:cs="Times New Roman" w:hint="eastAsia"/>
          <w:sz w:val="32"/>
          <w:szCs w:val="32"/>
        </w:rPr>
        <w:t>报送内部控制报告，各级卫生健康行政部门或</w:t>
      </w:r>
      <w:r>
        <w:rPr>
          <w:rFonts w:ascii="仿宋" w:eastAsia="仿宋" w:hAnsi="仿宋" w:cs="Times New Roman" w:hint="eastAsia"/>
          <w:color w:val="000000"/>
          <w:sz w:val="32"/>
          <w:szCs w:val="32"/>
        </w:rPr>
        <w:t>中医药主管部门</w:t>
      </w:r>
      <w:r>
        <w:rPr>
          <w:rFonts w:ascii="仿宋" w:eastAsia="仿宋" w:hAnsi="仿宋" w:cs="Times New Roman" w:hint="eastAsia"/>
          <w:sz w:val="32"/>
          <w:szCs w:val="32"/>
        </w:rPr>
        <w:t>汇总所属医疗机构报告后，形成部门内部控制报告向同级财政部门报送。</w:t>
      </w:r>
    </w:p>
    <w:p w14:paraId="1CCD0CE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第四十四条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医院应当根据本单位年度内部控制工作的实际情况及取得的成效，以能够反映内部控制工作基本事实的相关材料为支撑，按照财政部门发布的统一报告格式编制内部控制报告。</w:t>
      </w:r>
    </w:p>
    <w:p w14:paraId="01759CC2"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反映内部控制工作基本事实的相关材料一般包括：会议纪要、内部控制制度、业务流程图、风险评估报告、内部控制培训材料等。</w:t>
      </w:r>
    </w:p>
    <w:p w14:paraId="180B603C"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第四十五条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医院应当加强对本单位内部控制报告的使用，通过对内部控制报告反映的信息进行分析，及时发现内部控制建设工作中存在的问题，进一步健全制度，完善监督措施，确保内部控制有效实施。</w:t>
      </w:r>
    </w:p>
    <w:p w14:paraId="07779DE7"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Times New Roman" w:hAnsi="Times New Roman" w:cs="Times New Roman"/>
          <w:sz w:val="32"/>
          <w:szCs w:val="32"/>
        </w:rPr>
        <w:lastRenderedPageBreak/>
        <w:t> </w:t>
      </w:r>
    </w:p>
    <w:p w14:paraId="12F161D1" w14:textId="77777777" w:rsidR="00AE515F" w:rsidRDefault="00AE515F" w:rsidP="00AE515F">
      <w:pPr>
        <w:pStyle w:val="a3"/>
        <w:spacing w:line="560" w:lineRule="atLeast"/>
        <w:ind w:firstLine="640"/>
        <w:jc w:val="center"/>
        <w:rPr>
          <w:rFonts w:ascii="Times New Roman" w:hAnsi="Times New Roman" w:cs="Times New Roman"/>
          <w:sz w:val="32"/>
          <w:szCs w:val="32"/>
        </w:rPr>
      </w:pPr>
      <w:r>
        <w:rPr>
          <w:rFonts w:ascii="黑体" w:eastAsia="黑体" w:hAnsi="黑体" w:cs="Times New Roman" w:hint="eastAsia"/>
          <w:color w:val="000000"/>
          <w:sz w:val="32"/>
          <w:szCs w:val="32"/>
        </w:rPr>
        <w:t>第七章</w:t>
      </w:r>
      <w:r>
        <w:rPr>
          <w:rFonts w:ascii="Times New Roman" w:hAnsi="Times New Roman" w:cs="Times New Roman"/>
          <w:color w:val="000000"/>
          <w:sz w:val="32"/>
          <w:szCs w:val="32"/>
        </w:rPr>
        <w:t> </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内部控制评价与监督</w:t>
      </w:r>
    </w:p>
    <w:p w14:paraId="5142398F"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第四十六条</w:t>
      </w:r>
      <w:r>
        <w:rPr>
          <w:rFonts w:ascii="Times New Roman" w:hAnsi="Times New Roman" w:cs="Times New Roman"/>
          <w:b/>
          <w:bCs/>
          <w:sz w:val="32"/>
          <w:szCs w:val="32"/>
        </w:rPr>
        <w:t xml:space="preserve"> </w:t>
      </w:r>
      <w:r>
        <w:rPr>
          <w:rFonts w:ascii="仿宋" w:eastAsia="仿宋" w:hAnsi="仿宋" w:cs="Times New Roman" w:hint="eastAsia"/>
          <w:sz w:val="32"/>
          <w:szCs w:val="32"/>
        </w:rPr>
        <w:t>本办法所称内部控制评价，是指医院内部审计部门或确定的牵头部门对本单位内部控制建立和实施的有效性进行评价，出具评价报告的过程。</w:t>
      </w:r>
    </w:p>
    <w:p w14:paraId="74A70A59"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本办法所称内部控制监督，是指内部审计部门、内部纪检监察等部门对医院内部控制建立和实施情况进行的监督。</w:t>
      </w:r>
    </w:p>
    <w:p w14:paraId="4744EBA6"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第四十七条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医院内部控制评价工作可以自行组织或委托具备资质的第三方机构实施。已提供内部控制建设服务的第三方机构，不得同时提供内部控制评价服务。</w:t>
      </w:r>
    </w:p>
    <w:p w14:paraId="3A1107C3"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第四十八条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医院内部审计部门和纪检监察部门应当制定内部控制监督制度，明确监督的职责、权限、程序和要求等，有序开展监督工作。</w:t>
      </w:r>
    </w:p>
    <w:p w14:paraId="3A63901E"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第四十九条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医院内部控制评价分为内部控制设计有效性评价和内部控制运行有效性评价。</w:t>
      </w:r>
      <w:r>
        <w:rPr>
          <w:rFonts w:ascii="Times New Roman" w:hAnsi="Times New Roman" w:cs="Times New Roman"/>
          <w:sz w:val="32"/>
          <w:szCs w:val="32"/>
        </w:rPr>
        <w:t xml:space="preserve"> </w:t>
      </w:r>
    </w:p>
    <w:p w14:paraId="189CA54B"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（一）内部控制设计有效性评价应</w:t>
      </w:r>
      <w:r>
        <w:rPr>
          <w:rFonts w:ascii="仿宋" w:eastAsia="仿宋" w:hAnsi="仿宋" w:cs="Times New Roman" w:hint="eastAsia"/>
          <w:sz w:val="32"/>
          <w:szCs w:val="32"/>
        </w:rPr>
        <w:t>当</w:t>
      </w:r>
      <w:r>
        <w:rPr>
          <w:rFonts w:ascii="仿宋" w:eastAsia="仿宋" w:hAnsi="仿宋" w:cs="Times New Roman" w:hint="eastAsia"/>
          <w:color w:val="000000"/>
          <w:sz w:val="32"/>
          <w:szCs w:val="32"/>
        </w:rPr>
        <w:t>关注以下几方面：内部控制的设计是否符合《行政事业单位内部控制规范（试行）》等规定要求；是否覆盖本单位经济活动及相关业务活动、是否涵盖所有内部控制关键岗位、关键部门及相关工作人员和工作任务；是否对重要经济活动及其重大风险给予足够关注，并建立相应的控制措施；是否重点关注关键部门和岗位、重大政策落实、重点专项执行和高风险领域；是否根</w:t>
      </w:r>
      <w:r>
        <w:rPr>
          <w:rFonts w:ascii="仿宋" w:eastAsia="仿宋" w:hAnsi="仿宋" w:cs="Times New Roman" w:hint="eastAsia"/>
          <w:color w:val="000000"/>
          <w:sz w:val="32"/>
          <w:szCs w:val="32"/>
        </w:rPr>
        <w:lastRenderedPageBreak/>
        <w:t>据国家相关政策、单位经济活动的调整和自身条件的变化，适时调整内部控制的关键控制点和控制措施。</w:t>
      </w:r>
      <w:r>
        <w:rPr>
          <w:rFonts w:ascii="Times New Roman" w:hAnsi="Times New Roman" w:cs="Times New Roman"/>
          <w:color w:val="000000"/>
          <w:sz w:val="32"/>
          <w:szCs w:val="32"/>
        </w:rPr>
        <w:t xml:space="preserve"> </w:t>
      </w:r>
    </w:p>
    <w:p w14:paraId="4C7DF24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仿宋" w:eastAsia="仿宋" w:hAnsi="仿宋" w:cs="Times New Roman" w:hint="eastAsia"/>
          <w:color w:val="000000"/>
          <w:sz w:val="32"/>
          <w:szCs w:val="32"/>
        </w:rPr>
        <w:t>（二）内部控制运行有效性评价应</w:t>
      </w:r>
      <w:r>
        <w:rPr>
          <w:rFonts w:ascii="仿宋" w:eastAsia="仿宋" w:hAnsi="仿宋" w:cs="Times New Roman" w:hint="eastAsia"/>
          <w:sz w:val="32"/>
          <w:szCs w:val="32"/>
        </w:rPr>
        <w:t>当</w:t>
      </w:r>
      <w:r>
        <w:rPr>
          <w:rFonts w:ascii="仿宋" w:eastAsia="仿宋" w:hAnsi="仿宋" w:cs="Times New Roman" w:hint="eastAsia"/>
          <w:color w:val="000000"/>
          <w:sz w:val="32"/>
          <w:szCs w:val="32"/>
        </w:rPr>
        <w:t>关注以下几方面：各项经济活动及相关业务活动在评价期内是否按照规定得到持续、一致的执行；内部控制机制、内部管理制度、岗位责任制、内部控制措施是否得到有效执行；执行业务控制的相关人员是否具备必要的权限、资格和能力；相关内部控制是否有效防范了重大差错和重大风险的发生。</w:t>
      </w:r>
      <w:r>
        <w:rPr>
          <w:rFonts w:ascii="Times New Roman" w:hAnsi="Times New Roman" w:cs="Times New Roman"/>
          <w:color w:val="000000"/>
          <w:sz w:val="32"/>
          <w:szCs w:val="32"/>
        </w:rPr>
        <w:t xml:space="preserve"> </w:t>
      </w:r>
    </w:p>
    <w:p w14:paraId="16C48B4D"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第五十条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医院内部控制评价报告至少应当包括：真实性声明、评价工作总体情况、评价依据、评价范围、评价程序和方法、风险及其认定、风险整改及对重大风险拟采取的控制措施、评价结论等内容。</w:t>
      </w:r>
    </w:p>
    <w:p w14:paraId="0D20C5F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第五十一条</w:t>
      </w:r>
      <w:r>
        <w:rPr>
          <w:rFonts w:ascii="Times New Roman" w:hAnsi="Times New Roman" w:cs="Times New Roman"/>
          <w:b/>
          <w:bCs/>
          <w:sz w:val="32"/>
          <w:szCs w:val="32"/>
        </w:rPr>
        <w:t xml:space="preserve"> </w:t>
      </w:r>
      <w:r>
        <w:rPr>
          <w:rFonts w:ascii="仿宋" w:eastAsia="仿宋" w:hAnsi="仿宋" w:cs="Times New Roman" w:hint="eastAsia"/>
          <w:sz w:val="32"/>
          <w:szCs w:val="32"/>
        </w:rPr>
        <w:t>医院向上级卫生健康行政部门或</w:t>
      </w:r>
      <w:r>
        <w:rPr>
          <w:rFonts w:ascii="仿宋" w:eastAsia="仿宋" w:hAnsi="仿宋" w:cs="Times New Roman" w:hint="eastAsia"/>
          <w:color w:val="000000"/>
          <w:sz w:val="32"/>
          <w:szCs w:val="32"/>
        </w:rPr>
        <w:t>中医药主管部门</w:t>
      </w:r>
      <w:r>
        <w:rPr>
          <w:rFonts w:ascii="仿宋" w:eastAsia="仿宋" w:hAnsi="仿宋" w:cs="Times New Roman" w:hint="eastAsia"/>
          <w:sz w:val="32"/>
          <w:szCs w:val="32"/>
        </w:rPr>
        <w:t>报送内部控制评价报告，各级</w:t>
      </w:r>
      <w:r>
        <w:rPr>
          <w:rFonts w:ascii="仿宋" w:eastAsia="仿宋" w:hAnsi="仿宋" w:cs="Times New Roman" w:hint="eastAsia"/>
          <w:color w:val="000000"/>
          <w:sz w:val="32"/>
          <w:szCs w:val="32"/>
        </w:rPr>
        <w:t>主管部门</w:t>
      </w:r>
      <w:r>
        <w:rPr>
          <w:rFonts w:ascii="仿宋" w:eastAsia="仿宋" w:hAnsi="仿宋" w:cs="Times New Roman" w:hint="eastAsia"/>
          <w:sz w:val="32"/>
          <w:szCs w:val="32"/>
        </w:rPr>
        <w:t>汇总所属医疗机构报告后，形成部门内部控制评价报告向同级财政部门报送。</w:t>
      </w:r>
    </w:p>
    <w:p w14:paraId="3D576906"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仿宋" w:eastAsia="仿宋" w:hAnsi="仿宋" w:cs="Times New Roman" w:hint="eastAsia"/>
          <w:sz w:val="32"/>
          <w:szCs w:val="32"/>
        </w:rPr>
        <w:t>医院内部控制职能部门或牵头部门根据内部控制评价报告的审批结果组织整改，完善内部控制，落实相关责任。</w:t>
      </w:r>
    </w:p>
    <w:p w14:paraId="5D64F248"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黑体" w:eastAsia="黑体" w:hAnsi="黑体" w:cs="Times New Roman" w:hint="eastAsia"/>
          <w:color w:val="000000"/>
          <w:sz w:val="32"/>
          <w:szCs w:val="32"/>
        </w:rPr>
        <w:t>第五十二条</w:t>
      </w:r>
      <w:r>
        <w:rPr>
          <w:rFonts w:ascii="Times New Roman" w:hAnsi="Times New Roman" w:cs="Times New Roman"/>
          <w:b/>
          <w:bCs/>
          <w:sz w:val="32"/>
          <w:szCs w:val="32"/>
        </w:rPr>
        <w:t xml:space="preserve"> </w:t>
      </w:r>
      <w:r>
        <w:rPr>
          <w:rFonts w:ascii="仿宋" w:eastAsia="仿宋" w:hAnsi="仿宋" w:cs="Times New Roman" w:hint="eastAsia"/>
          <w:sz w:val="32"/>
          <w:szCs w:val="32"/>
        </w:rPr>
        <w:t>医院依法依规接受财政、审计、纪检监察等外部门对本单位内部控制工作的监督检查，要及时整改落实，完善内部控制体系，确保内部控制制度有效实施。</w:t>
      </w:r>
    </w:p>
    <w:p w14:paraId="04AF8B9A" w14:textId="77777777" w:rsidR="00AE515F" w:rsidRDefault="00AE515F" w:rsidP="00AE515F">
      <w:pPr>
        <w:pStyle w:val="a3"/>
        <w:spacing w:line="560" w:lineRule="atLeast"/>
        <w:ind w:firstLine="627"/>
        <w:jc w:val="both"/>
        <w:rPr>
          <w:rFonts w:ascii="Times New Roman" w:hAnsi="Times New Roman" w:cs="Times New Roman"/>
          <w:sz w:val="32"/>
          <w:szCs w:val="32"/>
        </w:rPr>
      </w:pPr>
      <w:r>
        <w:rPr>
          <w:rFonts w:ascii="Times New Roman" w:hAnsi="Times New Roman" w:cs="Times New Roman"/>
          <w:sz w:val="32"/>
          <w:szCs w:val="32"/>
        </w:rPr>
        <w:t> </w:t>
      </w:r>
    </w:p>
    <w:p w14:paraId="5D8B4572" w14:textId="77777777" w:rsidR="00AE515F" w:rsidRDefault="00AE515F" w:rsidP="00AE515F">
      <w:pPr>
        <w:pStyle w:val="a3"/>
        <w:spacing w:line="560" w:lineRule="atLeast"/>
        <w:jc w:val="center"/>
        <w:rPr>
          <w:rFonts w:ascii="Times New Roman" w:hAnsi="Times New Roman" w:cs="Times New Roman"/>
          <w:sz w:val="32"/>
          <w:szCs w:val="32"/>
        </w:rPr>
      </w:pPr>
      <w:r>
        <w:rPr>
          <w:rFonts w:ascii="黑体" w:eastAsia="黑体" w:hAnsi="黑体" w:cs="Times New Roman" w:hint="eastAsia"/>
          <w:color w:val="000000"/>
          <w:sz w:val="32"/>
          <w:szCs w:val="32"/>
        </w:rPr>
        <w:lastRenderedPageBreak/>
        <w:t>第八章</w:t>
      </w:r>
      <w:r>
        <w:rPr>
          <w:rFonts w:ascii="Times New Roman" w:hAnsi="Times New Roman" w:cs="Times New Roman"/>
          <w:color w:val="000000"/>
          <w:sz w:val="32"/>
          <w:szCs w:val="32"/>
        </w:rPr>
        <w:t xml:space="preserve"> </w:t>
      </w:r>
      <w:r>
        <w:rPr>
          <w:rFonts w:ascii="黑体" w:eastAsia="黑体" w:hAnsi="黑体" w:cs="Times New Roman" w:hint="eastAsia"/>
          <w:color w:val="000000"/>
          <w:sz w:val="32"/>
          <w:szCs w:val="32"/>
        </w:rPr>
        <w:t>附则</w:t>
      </w:r>
    </w:p>
    <w:p w14:paraId="42F41096"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第五十三条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本办法由国家卫生健康委和国家中医药管理局负责解释。</w:t>
      </w:r>
    </w:p>
    <w:p w14:paraId="282D3318" w14:textId="77777777" w:rsidR="00AE515F" w:rsidRDefault="00AE515F" w:rsidP="00AE515F">
      <w:pPr>
        <w:pStyle w:val="a3"/>
        <w:spacing w:line="560" w:lineRule="atLeast"/>
        <w:ind w:firstLine="640"/>
        <w:jc w:val="both"/>
        <w:rPr>
          <w:rFonts w:ascii="Times New Roman" w:hAnsi="Times New Roman" w:cs="Times New Roman"/>
          <w:sz w:val="32"/>
          <w:szCs w:val="32"/>
        </w:rPr>
      </w:pPr>
      <w:r>
        <w:rPr>
          <w:rFonts w:ascii="黑体" w:eastAsia="黑体" w:hAnsi="黑体" w:cs="Times New Roman" w:hint="eastAsia"/>
          <w:color w:val="000000"/>
          <w:sz w:val="32"/>
          <w:szCs w:val="32"/>
        </w:rPr>
        <w:t>第五十四条</w:t>
      </w:r>
      <w:r>
        <w:rPr>
          <w:rFonts w:ascii="Times New Roman" w:hAnsi="Times New Roman" w:cs="Times New Roman"/>
          <w:color w:val="000000"/>
          <w:sz w:val="32"/>
          <w:szCs w:val="32"/>
        </w:rPr>
        <w:t xml:space="preserve"> </w:t>
      </w:r>
      <w:r>
        <w:rPr>
          <w:rFonts w:ascii="仿宋" w:eastAsia="仿宋" w:hAnsi="仿宋" w:cs="Times New Roman" w:hint="eastAsia"/>
          <w:sz w:val="32"/>
          <w:szCs w:val="32"/>
        </w:rPr>
        <w:t>本办法自</w:t>
      </w:r>
      <w:r>
        <w:rPr>
          <w:rFonts w:ascii="Times New Roman" w:hAnsi="Times New Roman" w:cs="Times New Roman"/>
          <w:sz w:val="32"/>
          <w:szCs w:val="32"/>
        </w:rPr>
        <w:t>2021</w:t>
      </w:r>
      <w:r>
        <w:rPr>
          <w:rFonts w:ascii="仿宋" w:eastAsia="仿宋" w:hAnsi="仿宋" w:cs="Times New Roman" w:hint="eastAsia"/>
          <w:sz w:val="32"/>
          <w:szCs w:val="32"/>
        </w:rPr>
        <w:t>年</w:t>
      </w:r>
      <w:r>
        <w:rPr>
          <w:rFonts w:ascii="Times New Roman" w:hAnsi="Times New Roman" w:cs="Times New Roman"/>
          <w:sz w:val="32"/>
          <w:szCs w:val="32"/>
        </w:rPr>
        <w:t>1</w:t>
      </w:r>
      <w:r>
        <w:rPr>
          <w:rFonts w:ascii="仿宋" w:eastAsia="仿宋" w:hAnsi="仿宋" w:cs="Times New Roman" w:hint="eastAsia"/>
          <w:sz w:val="32"/>
          <w:szCs w:val="32"/>
        </w:rPr>
        <w:t>月</w:t>
      </w:r>
      <w:r>
        <w:rPr>
          <w:rFonts w:ascii="Times New Roman" w:hAnsi="Times New Roman" w:cs="Times New Roman"/>
          <w:sz w:val="32"/>
          <w:szCs w:val="32"/>
        </w:rPr>
        <w:t>1</w:t>
      </w:r>
      <w:r>
        <w:rPr>
          <w:rFonts w:ascii="仿宋" w:eastAsia="仿宋" w:hAnsi="仿宋" w:cs="Times New Roman" w:hint="eastAsia"/>
          <w:sz w:val="32"/>
          <w:szCs w:val="32"/>
        </w:rPr>
        <w:t>日起施行，《卫生部关于印发</w:t>
      </w:r>
      <w:r>
        <w:rPr>
          <w:rFonts w:ascii="Times New Roman" w:hAnsi="Times New Roman" w:cs="Times New Roman"/>
          <w:sz w:val="32"/>
          <w:szCs w:val="32"/>
        </w:rPr>
        <w:t>&lt;</w:t>
      </w:r>
      <w:r>
        <w:rPr>
          <w:rFonts w:ascii="仿宋" w:eastAsia="仿宋" w:hAnsi="仿宋" w:cs="Times New Roman" w:hint="eastAsia"/>
          <w:sz w:val="32"/>
          <w:szCs w:val="32"/>
        </w:rPr>
        <w:t>医疗机构财务会计内部控制规定（试行）</w:t>
      </w:r>
      <w:r>
        <w:rPr>
          <w:rFonts w:ascii="Times New Roman" w:hAnsi="Times New Roman" w:cs="Times New Roman"/>
          <w:sz w:val="32"/>
          <w:szCs w:val="32"/>
        </w:rPr>
        <w:t>&gt;</w:t>
      </w:r>
      <w:r>
        <w:rPr>
          <w:rFonts w:ascii="仿宋" w:eastAsia="仿宋" w:hAnsi="仿宋" w:cs="Times New Roman" w:hint="eastAsia"/>
          <w:sz w:val="32"/>
          <w:szCs w:val="32"/>
        </w:rPr>
        <w:t>的通知》（卫</w:t>
      </w:r>
      <w:proofErr w:type="gramStart"/>
      <w:r>
        <w:rPr>
          <w:rFonts w:ascii="仿宋" w:eastAsia="仿宋" w:hAnsi="仿宋" w:cs="Times New Roman" w:hint="eastAsia"/>
          <w:sz w:val="32"/>
          <w:szCs w:val="32"/>
        </w:rPr>
        <w:t>规</w:t>
      </w:r>
      <w:proofErr w:type="gramEnd"/>
      <w:r>
        <w:rPr>
          <w:rFonts w:ascii="仿宋" w:eastAsia="仿宋" w:hAnsi="仿宋" w:cs="Times New Roman" w:hint="eastAsia"/>
          <w:sz w:val="32"/>
          <w:szCs w:val="32"/>
        </w:rPr>
        <w:t>财发〔</w:t>
      </w:r>
      <w:r>
        <w:rPr>
          <w:rFonts w:ascii="Times New Roman" w:hAnsi="Times New Roman" w:cs="Times New Roman"/>
          <w:sz w:val="32"/>
          <w:szCs w:val="32"/>
        </w:rPr>
        <w:t>2006</w:t>
      </w:r>
      <w:r>
        <w:rPr>
          <w:rFonts w:ascii="仿宋" w:eastAsia="仿宋" w:hAnsi="仿宋" w:cs="Times New Roman" w:hint="eastAsia"/>
          <w:sz w:val="32"/>
          <w:szCs w:val="32"/>
        </w:rPr>
        <w:t>〕</w:t>
      </w:r>
      <w:r>
        <w:rPr>
          <w:rFonts w:ascii="Times New Roman" w:hAnsi="Times New Roman" w:cs="Times New Roman"/>
          <w:sz w:val="32"/>
          <w:szCs w:val="32"/>
        </w:rPr>
        <w:t>227</w:t>
      </w:r>
      <w:r>
        <w:rPr>
          <w:rFonts w:ascii="仿宋" w:eastAsia="仿宋" w:hAnsi="仿宋" w:cs="Times New Roman" w:hint="eastAsia"/>
          <w:sz w:val="32"/>
          <w:szCs w:val="32"/>
        </w:rPr>
        <w:t>号）中相关规定与本办法不一致的，以本办法为准。</w:t>
      </w:r>
    </w:p>
    <w:p w14:paraId="690DE912" w14:textId="77777777" w:rsidR="00AE515F" w:rsidRDefault="00AE515F" w:rsidP="00AE515F">
      <w:pPr>
        <w:pStyle w:val="a3"/>
        <w:jc w:val="both"/>
        <w:rPr>
          <w:rFonts w:ascii="Times New Roman" w:hAnsi="Times New Roman" w:cs="Times New Roman"/>
          <w:sz w:val="32"/>
          <w:szCs w:val="32"/>
        </w:rPr>
      </w:pPr>
      <w:r>
        <w:rPr>
          <w:rFonts w:ascii="Times New Roman" w:hAnsi="Times New Roman" w:cs="Times New Roman"/>
          <w:sz w:val="32"/>
          <w:szCs w:val="32"/>
        </w:rPr>
        <w:t> </w:t>
      </w:r>
    </w:p>
    <w:p w14:paraId="7814E63A" w14:textId="77777777" w:rsidR="001C1B23" w:rsidRPr="00AE515F" w:rsidRDefault="001C1B23" w:rsidP="00AE515F"/>
    <w:sectPr w:rsidR="001C1B23" w:rsidRPr="00AE5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57"/>
    <w:rsid w:val="001C1B23"/>
    <w:rsid w:val="0042376E"/>
    <w:rsid w:val="0043622A"/>
    <w:rsid w:val="005233AF"/>
    <w:rsid w:val="00AE515F"/>
    <w:rsid w:val="00D07A57"/>
    <w:rsid w:val="00D9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2F44"/>
  <w15:chartTrackingRefBased/>
  <w15:docId w15:val="{DB9774C8-EFCC-4AAB-A410-9FDB1823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15F"/>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249226">
      <w:bodyDiv w:val="1"/>
      <w:marLeft w:val="0"/>
      <w:marRight w:val="0"/>
      <w:marTop w:val="0"/>
      <w:marBottom w:val="0"/>
      <w:divBdr>
        <w:top w:val="none" w:sz="0" w:space="0" w:color="auto"/>
        <w:left w:val="none" w:sz="0" w:space="0" w:color="auto"/>
        <w:bottom w:val="none" w:sz="0" w:space="0" w:color="auto"/>
        <w:right w:val="none" w:sz="0" w:space="0" w:color="auto"/>
      </w:divBdr>
    </w:div>
    <w:div w:id="20950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gong chen</cp:lastModifiedBy>
  <cp:revision>2</cp:revision>
  <dcterms:created xsi:type="dcterms:W3CDTF">2021-01-06T05:43:00Z</dcterms:created>
  <dcterms:modified xsi:type="dcterms:W3CDTF">2021-01-06T05:43:00Z</dcterms:modified>
</cp:coreProperties>
</file>